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C6" w:rsidRPr="00AD67BD" w:rsidRDefault="00AD67BD" w:rsidP="00AD67BD">
      <w:r>
        <w:rPr>
          <w:rFonts w:ascii="Sylfaen" w:hAnsi="Sylfaen"/>
          <w:sz w:val="24"/>
          <w:szCs w:val="24"/>
          <w:lang w:val="ka-GE"/>
        </w:rPr>
        <w:t>2017 წლის IV კვარტლის რეკლა</w:t>
      </w: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>მის ხარჯი შეადგენს 7 783 291 ლარს.</w:t>
      </w:r>
    </w:p>
    <w:sectPr w:rsidR="00F82DC6" w:rsidRPr="00AD67B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6C"/>
    <w:rsid w:val="00247F85"/>
    <w:rsid w:val="00587064"/>
    <w:rsid w:val="006553F9"/>
    <w:rsid w:val="008546A7"/>
    <w:rsid w:val="00AD67BD"/>
    <w:rsid w:val="00D34A6C"/>
    <w:rsid w:val="00F41F35"/>
    <w:rsid w:val="00F8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DE869-B2D0-49B8-9294-51C5F36E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7</cp:revision>
  <dcterms:created xsi:type="dcterms:W3CDTF">2017-11-27T11:13:00Z</dcterms:created>
  <dcterms:modified xsi:type="dcterms:W3CDTF">2018-03-28T16:57:00Z</dcterms:modified>
</cp:coreProperties>
</file>