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2F5" w:rsidRDefault="009932F5" w:rsidP="00F12AD6">
      <w:pPr>
        <w:pBdr>
          <w:top w:val="nil"/>
          <w:left w:val="nil"/>
          <w:bottom w:val="nil"/>
          <w:right w:val="nil"/>
          <w:between w:val="nil"/>
        </w:pBdr>
        <w:spacing w:after="0"/>
        <w:ind w:left="-720"/>
        <w:jc w:val="center"/>
        <w:rPr>
          <w:b/>
        </w:rPr>
      </w:pPr>
      <w:bookmarkStart w:id="0" w:name="_heading=h.gjdgxs" w:colFirst="0" w:colLast="0"/>
      <w:bookmarkEnd w:id="0"/>
    </w:p>
    <w:p w:rsidR="009932F5" w:rsidRDefault="009932F5" w:rsidP="00F12AD6">
      <w:pPr>
        <w:pBdr>
          <w:top w:val="nil"/>
          <w:left w:val="nil"/>
          <w:bottom w:val="nil"/>
          <w:right w:val="nil"/>
          <w:between w:val="nil"/>
        </w:pBdr>
        <w:spacing w:after="0"/>
        <w:ind w:left="-720"/>
        <w:jc w:val="center"/>
        <w:rPr>
          <w:b/>
        </w:rPr>
      </w:pPr>
    </w:p>
    <w:p w:rsidR="00151697" w:rsidRPr="00D221B4" w:rsidRDefault="007E584B" w:rsidP="00F12AD6">
      <w:pPr>
        <w:pBdr>
          <w:top w:val="nil"/>
          <w:left w:val="nil"/>
          <w:bottom w:val="nil"/>
          <w:right w:val="nil"/>
          <w:between w:val="nil"/>
        </w:pBdr>
        <w:spacing w:after="0"/>
        <w:ind w:left="-720"/>
        <w:jc w:val="center"/>
        <w:rPr>
          <w:b/>
        </w:rPr>
      </w:pPr>
      <w:r>
        <w:rPr>
          <w:b/>
        </w:rPr>
        <w:t xml:space="preserve">Mastercard და </w:t>
      </w:r>
      <w:r w:rsidR="00D221B4">
        <w:rPr>
          <w:b/>
        </w:rPr>
        <w:t>ტურიზმის ეროვნული ადმინისტრაცია</w:t>
      </w:r>
      <w:bookmarkStart w:id="1" w:name="_GoBack"/>
      <w:bookmarkEnd w:id="1"/>
      <w:r>
        <w:rPr>
          <w:b/>
        </w:rPr>
        <w:t xml:space="preserve"> 2022 წლის პირველი კვარტლის ტურიზმის ტენდენციებს აქვეყნებენ</w:t>
      </w:r>
    </w:p>
    <w:p w:rsidR="00F12AD6" w:rsidRDefault="00F12AD6" w:rsidP="00F12AD6">
      <w:pPr>
        <w:pBdr>
          <w:top w:val="nil"/>
          <w:left w:val="nil"/>
          <w:bottom w:val="nil"/>
          <w:right w:val="nil"/>
          <w:between w:val="nil"/>
        </w:pBdr>
        <w:spacing w:after="0"/>
        <w:ind w:left="-720"/>
        <w:jc w:val="center"/>
        <w:rPr>
          <w:b/>
          <w:color w:val="000000"/>
        </w:rPr>
      </w:pPr>
    </w:p>
    <w:p w:rsidR="00151697" w:rsidRDefault="00151697">
      <w:pPr>
        <w:pBdr>
          <w:top w:val="nil"/>
          <w:left w:val="nil"/>
          <w:bottom w:val="nil"/>
          <w:right w:val="nil"/>
          <w:between w:val="nil"/>
        </w:pBdr>
        <w:spacing w:after="0"/>
        <w:ind w:left="720"/>
        <w:jc w:val="both"/>
        <w:rPr>
          <w:b/>
          <w:color w:val="000000"/>
        </w:rPr>
      </w:pPr>
    </w:p>
    <w:p w:rsidR="00132196" w:rsidRPr="00132196" w:rsidRDefault="00132196" w:rsidP="00132196">
      <w:pPr>
        <w:pBdr>
          <w:top w:val="nil"/>
          <w:left w:val="nil"/>
          <w:bottom w:val="nil"/>
          <w:right w:val="nil"/>
          <w:between w:val="nil"/>
        </w:pBdr>
        <w:spacing w:after="0"/>
        <w:ind w:left="-720" w:firstLine="720"/>
        <w:jc w:val="both"/>
        <w:rPr>
          <w:color w:val="000000"/>
        </w:rPr>
      </w:pPr>
      <w:r w:rsidRPr="00132196">
        <w:rPr>
          <w:color w:val="000000"/>
        </w:rPr>
        <w:t xml:space="preserve">Mastercard-მა ახალი ტურისტული პარტნიორობა საქართველოს მთავრობასა და საქართველოს ტურიზმის ეროვნულ </w:t>
      </w:r>
      <w:r w:rsidR="000A58DE">
        <w:rPr>
          <w:color w:val="000000"/>
        </w:rPr>
        <w:t>ადმინისტრაციასთან</w:t>
      </w:r>
      <w:r w:rsidR="000A58DE" w:rsidRPr="00D221B4">
        <w:rPr>
          <w:color w:val="000000"/>
        </w:rPr>
        <w:t xml:space="preserve"> 2020 წლის სექტემბერში დააანონსა.</w:t>
      </w:r>
      <w:r w:rsidRPr="00132196">
        <w:rPr>
          <w:color w:val="000000"/>
        </w:rPr>
        <w:t xml:space="preserve"> </w:t>
      </w:r>
      <w:r w:rsidR="000A58DE">
        <w:rPr>
          <w:color w:val="000000"/>
        </w:rPr>
        <w:t>პარტნიორობა</w:t>
      </w:r>
      <w:r w:rsidRPr="00132196">
        <w:rPr>
          <w:color w:val="000000"/>
        </w:rPr>
        <w:t xml:space="preserve"> მიზნად ისახავს სექტორში არსებული ბიზნესების მხარდაჭერას, </w:t>
      </w:r>
      <w:r w:rsidR="000A58DE">
        <w:rPr>
          <w:color w:val="000000"/>
        </w:rPr>
        <w:t>მათ დახმარებას ახალი</w:t>
      </w:r>
      <w:r w:rsidRPr="00132196">
        <w:rPr>
          <w:color w:val="000000"/>
        </w:rPr>
        <w:t xml:space="preserve"> აუდიტორიის </w:t>
      </w:r>
      <w:r w:rsidR="000A58DE">
        <w:rPr>
          <w:color w:val="000000"/>
        </w:rPr>
        <w:t>მოზიდვასა</w:t>
      </w:r>
      <w:r w:rsidRPr="00132196">
        <w:rPr>
          <w:color w:val="000000"/>
        </w:rPr>
        <w:t xml:space="preserve"> და </w:t>
      </w:r>
      <w:r w:rsidR="000A58DE">
        <w:rPr>
          <w:color w:val="000000"/>
        </w:rPr>
        <w:t>ტურისტული სეზონისთვის მომზადებაში.</w:t>
      </w:r>
    </w:p>
    <w:p w:rsidR="00132196" w:rsidRPr="00132196" w:rsidRDefault="00132196" w:rsidP="00132196">
      <w:pPr>
        <w:pBdr>
          <w:top w:val="nil"/>
          <w:left w:val="nil"/>
          <w:bottom w:val="nil"/>
          <w:right w:val="nil"/>
          <w:between w:val="nil"/>
        </w:pBdr>
        <w:spacing w:after="0"/>
        <w:ind w:left="-720" w:firstLine="720"/>
        <w:jc w:val="both"/>
        <w:rPr>
          <w:color w:val="000000"/>
        </w:rPr>
      </w:pPr>
    </w:p>
    <w:p w:rsidR="00132196" w:rsidRPr="00132196" w:rsidRDefault="00132196" w:rsidP="00132196">
      <w:pPr>
        <w:pBdr>
          <w:top w:val="nil"/>
          <w:left w:val="nil"/>
          <w:bottom w:val="nil"/>
          <w:right w:val="nil"/>
          <w:between w:val="nil"/>
        </w:pBdr>
        <w:spacing w:after="0"/>
        <w:ind w:left="-720" w:firstLine="720"/>
        <w:jc w:val="both"/>
        <w:rPr>
          <w:color w:val="000000"/>
        </w:rPr>
      </w:pPr>
      <w:r w:rsidRPr="00132196">
        <w:rPr>
          <w:color w:val="000000"/>
        </w:rPr>
        <w:t>თანამშრომლობის მთავარი ინსტრუმენტი, მთავრობებისთვის, კერძო კომპანიებისა და მცირე მეწარმეებისთვის, როგორც საქართველოში, ასევე მის ფარგლებს გარეთ, არის მონაცემების ანალიზი. მომხმარებლები საშუალოდ 38 სამოგზაურო გვერდს იყენებენ, ხოლო მოგზაურობის დაგეგმვას ხუთი კვირით ადრე იწყებენ - ეძებენ რჩევებს სოციალურ მედიაში, აქვეყნებენ შვებულების ფოტოებს, მოგზაურობის მიმოხილვებს და ციფრულად იხიდან მოგზაურობის ხარჯების დიდ ნაწილს. ეს წარმოქმნის მონაცემთა უზარმაზარ, ახალ ბაზას – მაგრამ შესაბამისი ინფორმაციის თავმოყრა, რომელიც არა მხოლოდ მოგზაურებს მიაწვდის ინფორმაციას, არამედ ტურიზმის სფეროს ინვესტიციების წარმართვაში დაეხმარება, მოითხოვს გამოცდილებას და მონაცემთა გაფართოებულ ანალიტიკას.</w:t>
      </w:r>
    </w:p>
    <w:p w:rsidR="00132196" w:rsidRPr="00132196" w:rsidRDefault="00132196" w:rsidP="00132196">
      <w:pPr>
        <w:pBdr>
          <w:top w:val="nil"/>
          <w:left w:val="nil"/>
          <w:bottom w:val="nil"/>
          <w:right w:val="nil"/>
          <w:between w:val="nil"/>
        </w:pBdr>
        <w:spacing w:after="0"/>
        <w:ind w:left="-720" w:firstLine="720"/>
        <w:jc w:val="both"/>
        <w:rPr>
          <w:color w:val="000000"/>
        </w:rPr>
      </w:pPr>
    </w:p>
    <w:p w:rsidR="00132196" w:rsidRDefault="00132196" w:rsidP="00132196">
      <w:pPr>
        <w:pBdr>
          <w:top w:val="nil"/>
          <w:left w:val="nil"/>
          <w:bottom w:val="nil"/>
          <w:right w:val="nil"/>
          <w:between w:val="nil"/>
        </w:pBdr>
        <w:spacing w:after="0"/>
        <w:ind w:left="-720" w:firstLine="720"/>
        <w:jc w:val="both"/>
        <w:rPr>
          <w:color w:val="000000"/>
        </w:rPr>
      </w:pPr>
      <w:r w:rsidRPr="00132196">
        <w:rPr>
          <w:color w:val="000000"/>
        </w:rPr>
        <w:t xml:space="preserve">საქართველოს ტურიზმის ეროვნულ ადმინისტრაციას, Mastercard Tourism Insights-მა  საშუალება მისცა გამოიყენოს გადახდის მონაცემები მომხმარებელთა ქცევის, განწყობებისა და ხარჯვის ჩვევების გამოსავლენად, რაც საშუალებას მისცემს </w:t>
      </w:r>
      <w:r w:rsidR="000A58DE">
        <w:rPr>
          <w:color w:val="000000"/>
        </w:rPr>
        <w:t>ტურიზმის სექტორის წარმომადგენლებს, მიიღონ</w:t>
      </w:r>
      <w:r w:rsidRPr="00132196">
        <w:rPr>
          <w:color w:val="000000"/>
        </w:rPr>
        <w:t xml:space="preserve"> უკეთესი </w:t>
      </w:r>
      <w:r w:rsidR="000A58DE">
        <w:rPr>
          <w:color w:val="000000"/>
        </w:rPr>
        <w:t xml:space="preserve">ბიზნეს </w:t>
      </w:r>
      <w:r w:rsidRPr="00132196">
        <w:rPr>
          <w:color w:val="000000"/>
        </w:rPr>
        <w:t>გადაწყვეტილებები</w:t>
      </w:r>
      <w:r>
        <w:rPr>
          <w:color w:val="000000"/>
        </w:rPr>
        <w:t>.</w:t>
      </w:r>
      <w:r w:rsidRPr="00471DF4">
        <w:rPr>
          <w:color w:val="000000"/>
        </w:rPr>
        <w:t xml:space="preserve"> </w:t>
      </w:r>
      <w:r w:rsidRPr="00132196">
        <w:rPr>
          <w:color w:val="000000"/>
        </w:rPr>
        <w:t>მონაცემები, რომელიც მიღებულია საძიებო სისტემებიდან, Mastercard-ის ტრანზაქციებიდან, სოციალური მედიიდან და ჯავშნის მონაცემებიდან, ზომავს ვიზიტორთა საერთო კმაყოფილებას ყველა ასპექტში - ამინდიდან დაწყებული, საცხოვრებელი და უსაფრთხოების კომპონეტების ჩათვლით.</w:t>
      </w:r>
    </w:p>
    <w:p w:rsidR="00132196" w:rsidRDefault="00132196" w:rsidP="00132196">
      <w:pPr>
        <w:pBdr>
          <w:top w:val="nil"/>
          <w:left w:val="nil"/>
          <w:bottom w:val="nil"/>
          <w:right w:val="nil"/>
          <w:between w:val="nil"/>
        </w:pBdr>
        <w:spacing w:after="0"/>
        <w:ind w:left="-720" w:firstLine="720"/>
        <w:jc w:val="both"/>
        <w:rPr>
          <w:color w:val="000000"/>
        </w:rPr>
      </w:pPr>
    </w:p>
    <w:p w:rsidR="00151697" w:rsidRDefault="007E584B" w:rsidP="00F12AD6">
      <w:pPr>
        <w:pBdr>
          <w:top w:val="nil"/>
          <w:left w:val="nil"/>
          <w:bottom w:val="nil"/>
          <w:right w:val="nil"/>
          <w:between w:val="nil"/>
        </w:pBdr>
        <w:spacing w:after="0"/>
        <w:ind w:left="-720" w:firstLine="720"/>
        <w:jc w:val="both"/>
        <w:rPr>
          <w:color w:val="000000"/>
        </w:rPr>
      </w:pPr>
      <w:r>
        <w:rPr>
          <w:color w:val="000000"/>
        </w:rPr>
        <w:t xml:space="preserve">2022 წლის პირველი კვარტლის მონაცემებით, საქართველოში </w:t>
      </w:r>
      <w:r w:rsidR="000A58DE">
        <w:rPr>
          <w:color w:val="000000"/>
        </w:rPr>
        <w:t xml:space="preserve">ტურისტული ნაკადი მნიშვნელოვნად გაიზარდა. შესაბამისად, იმატა </w:t>
      </w:r>
      <w:r>
        <w:rPr>
          <w:color w:val="000000"/>
        </w:rPr>
        <w:t>საერთაშორისო ფრენების რაოდენობა</w:t>
      </w:r>
      <w:r w:rsidR="000A58DE">
        <w:rPr>
          <w:color w:val="000000"/>
        </w:rPr>
        <w:t>მაც</w:t>
      </w:r>
      <w:r>
        <w:rPr>
          <w:color w:val="000000"/>
        </w:rPr>
        <w:t xml:space="preserve">, წინა წლის ანალოგიურ პერიოდთან შედარებით 270%-ით, რაც ჯამში მოიცავს 3,000-ზე მეტ ფრენას. </w:t>
      </w:r>
      <w:r w:rsidR="000A58DE">
        <w:rPr>
          <w:color w:val="000000"/>
        </w:rPr>
        <w:t>285%-ით არის გაზრდილი</w:t>
      </w:r>
      <w:r>
        <w:rPr>
          <w:color w:val="000000"/>
        </w:rPr>
        <w:t xml:space="preserve"> </w:t>
      </w:r>
      <w:r w:rsidR="000A58DE">
        <w:rPr>
          <w:color w:val="000000"/>
        </w:rPr>
        <w:t>მგზავრთნაკადი,</w:t>
      </w:r>
      <w:r>
        <w:rPr>
          <w:color w:val="000000"/>
        </w:rPr>
        <w:t xml:space="preserve"> რომელიც შეადგენს 489,000-ზე მეტ მგზავრს. აქედან, ყველაზე მეტი წილი მოდის თურქეთიდან (21.1%), მას მოსდევს არაბთა გაერთიანებული საემიროები (13.5%) და ისრაელი (8.3%).</w:t>
      </w:r>
    </w:p>
    <w:p w:rsidR="00151697" w:rsidRDefault="00151697">
      <w:pPr>
        <w:pBdr>
          <w:top w:val="nil"/>
          <w:left w:val="nil"/>
          <w:bottom w:val="nil"/>
          <w:right w:val="nil"/>
          <w:between w:val="nil"/>
        </w:pBdr>
        <w:spacing w:after="0"/>
        <w:ind w:left="720"/>
        <w:rPr>
          <w:color w:val="000000"/>
          <w:shd w:val="clear" w:color="auto" w:fill="0070C0"/>
        </w:rPr>
      </w:pPr>
    </w:p>
    <w:p w:rsidR="00151697" w:rsidRDefault="007E584B" w:rsidP="007E584B">
      <w:pPr>
        <w:pBdr>
          <w:top w:val="nil"/>
          <w:left w:val="nil"/>
          <w:bottom w:val="nil"/>
          <w:right w:val="nil"/>
          <w:between w:val="nil"/>
        </w:pBdr>
        <w:spacing w:after="0"/>
        <w:ind w:left="720"/>
        <w:rPr>
          <w:b/>
          <w:color w:val="44546A"/>
        </w:rPr>
      </w:pPr>
      <w:r w:rsidRPr="00132196">
        <w:rPr>
          <w:b/>
          <w:color w:val="44546A"/>
        </w:rPr>
        <w:t xml:space="preserve">                 </w:t>
      </w:r>
      <w:r w:rsidR="00453974" w:rsidRPr="007E584B">
        <w:rPr>
          <w:b/>
        </w:rPr>
        <w:t>ავი</w:t>
      </w:r>
      <w:r w:rsidRPr="007E584B">
        <w:rPr>
          <w:b/>
        </w:rPr>
        <w:t>არეისების გადანაწილება ქვეყნების მიხედვით</w:t>
      </w:r>
    </w:p>
    <w:p w:rsidR="007E584B" w:rsidRPr="00132196" w:rsidRDefault="007E584B">
      <w:pPr>
        <w:pBdr>
          <w:top w:val="nil"/>
          <w:left w:val="nil"/>
          <w:bottom w:val="nil"/>
          <w:right w:val="nil"/>
          <w:between w:val="nil"/>
        </w:pBdr>
        <w:spacing w:after="0"/>
        <w:ind w:left="720"/>
        <w:rPr>
          <w:noProof/>
        </w:rPr>
      </w:pPr>
    </w:p>
    <w:p w:rsidR="00453974" w:rsidRDefault="00453974" w:rsidP="007E584B">
      <w:pPr>
        <w:pBdr>
          <w:top w:val="nil"/>
          <w:left w:val="nil"/>
          <w:bottom w:val="nil"/>
          <w:right w:val="nil"/>
          <w:between w:val="nil"/>
        </w:pBdr>
        <w:spacing w:after="0"/>
        <w:ind w:left="900"/>
        <w:rPr>
          <w:color w:val="000000"/>
          <w:shd w:val="clear" w:color="auto" w:fill="0070C0"/>
        </w:rPr>
      </w:pPr>
      <w:r>
        <w:rPr>
          <w:noProof/>
          <w:color w:val="000000"/>
          <w:shd w:val="clear" w:color="auto" w:fill="0070C0"/>
          <w:lang w:val="en-US"/>
        </w:rPr>
        <w:lastRenderedPageBreak/>
        <w:drawing>
          <wp:inline distT="0" distB="0" distL="0" distR="0">
            <wp:extent cx="4295775" cy="31093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ახხლები-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00372" cy="3112655"/>
                    </a:xfrm>
                    <a:prstGeom prst="rect">
                      <a:avLst/>
                    </a:prstGeom>
                  </pic:spPr>
                </pic:pic>
              </a:graphicData>
            </a:graphic>
          </wp:inline>
        </w:drawing>
      </w:r>
    </w:p>
    <w:p w:rsidR="00151697" w:rsidRDefault="00151697">
      <w:pPr>
        <w:pBdr>
          <w:top w:val="nil"/>
          <w:left w:val="nil"/>
          <w:bottom w:val="nil"/>
          <w:right w:val="nil"/>
          <w:between w:val="nil"/>
        </w:pBdr>
        <w:ind w:left="720"/>
        <w:rPr>
          <w:color w:val="000000"/>
        </w:rPr>
      </w:pPr>
    </w:p>
    <w:p w:rsidR="00453974" w:rsidRPr="007E584B" w:rsidRDefault="007E584B" w:rsidP="007E584B">
      <w:r>
        <w:rPr>
          <w:b/>
          <w:color w:val="44546A"/>
        </w:rPr>
        <w:t xml:space="preserve">               </w:t>
      </w:r>
      <w:r w:rsidR="00453974">
        <w:rPr>
          <w:noProof/>
          <w:lang w:val="en-US"/>
        </w:rPr>
        <w:drawing>
          <wp:inline distT="0" distB="0" distL="0" distR="0">
            <wp:extent cx="4533432" cy="293370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ახხლები-0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34668" cy="2934500"/>
                    </a:xfrm>
                    <a:prstGeom prst="rect">
                      <a:avLst/>
                    </a:prstGeom>
                  </pic:spPr>
                </pic:pic>
              </a:graphicData>
            </a:graphic>
          </wp:inline>
        </w:drawing>
      </w:r>
    </w:p>
    <w:p w:rsidR="00151697" w:rsidRDefault="007E584B">
      <w:pPr>
        <w:jc w:val="center"/>
        <w:rPr>
          <w:b/>
        </w:rPr>
      </w:pPr>
      <w:r>
        <w:rPr>
          <w:b/>
        </w:rPr>
        <w:t>დანახარჯების სტრუქტურა (2021 წ)</w:t>
      </w:r>
    </w:p>
    <w:p w:rsidR="00151697" w:rsidRDefault="007E584B" w:rsidP="007E584B">
      <w:pPr>
        <w:ind w:left="-720" w:firstLine="720"/>
        <w:jc w:val="both"/>
      </w:pPr>
      <w:r>
        <w:t xml:space="preserve">2021 წელს საქართველოში შესრულებული ვიზიტებიდან მასტერქარდის ბარათით განხორციელებულმა საშუალო დანახარჯმა 400 აშშ დოლარი შეადგინა, ყველაზე მაღალი დანახარჯი ერთ ვიზიტზე ამერიკის შეერთებული შტატებიდან შემოსულ ვიზიტორებს ეკუთვნით - საშუალოდ 611$, ამ მაჩვენებლით მოყვება ისრაელი - 574$ და არაბთა გაერთიანებული საემიროები 564$. </w:t>
      </w:r>
    </w:p>
    <w:p w:rsidR="007E584B" w:rsidRDefault="007E584B" w:rsidP="007E584B">
      <w:pPr>
        <w:ind w:left="-720" w:firstLine="720"/>
        <w:jc w:val="both"/>
      </w:pPr>
    </w:p>
    <w:p w:rsidR="00151697" w:rsidRPr="007E584B" w:rsidRDefault="007E584B" w:rsidP="007E584B">
      <w:pPr>
        <w:jc w:val="center"/>
        <w:rPr>
          <w:b/>
        </w:rPr>
      </w:pPr>
      <w:r w:rsidRPr="007E584B">
        <w:rPr>
          <w:b/>
        </w:rPr>
        <w:t>საშუალო დანახარჯი ვიზიტზე, ქვეყნების მიხედვით (2021წ)</w:t>
      </w:r>
    </w:p>
    <w:p w:rsidR="007E584B" w:rsidRDefault="007E584B" w:rsidP="007E584B">
      <w:pPr>
        <w:jc w:val="center"/>
        <w:rPr>
          <w:b/>
          <w:color w:val="44546A"/>
        </w:rPr>
      </w:pPr>
    </w:p>
    <w:p w:rsidR="00151697" w:rsidRDefault="007E584B" w:rsidP="007E584B">
      <w:pPr>
        <w:jc w:val="center"/>
        <w:rPr>
          <w:b/>
          <w:color w:val="44546A"/>
        </w:rPr>
      </w:pPr>
      <w:r>
        <w:rPr>
          <w:b/>
          <w:noProof/>
          <w:color w:val="44546A"/>
          <w:lang w:val="en-US"/>
        </w:rPr>
        <w:drawing>
          <wp:inline distT="0" distB="0" distL="0" distR="0">
            <wp:extent cx="5486400" cy="32004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51697" w:rsidRDefault="00151697"/>
    <w:tbl>
      <w:tblPr>
        <w:tblStyle w:val="a"/>
        <w:tblW w:w="12121" w:type="dxa"/>
        <w:tblInd w:w="-1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7"/>
        <w:gridCol w:w="915"/>
        <w:gridCol w:w="1208"/>
        <w:gridCol w:w="825"/>
        <w:gridCol w:w="889"/>
        <w:gridCol w:w="822"/>
        <w:gridCol w:w="1001"/>
        <w:gridCol w:w="1008"/>
        <w:gridCol w:w="1225"/>
        <w:gridCol w:w="1038"/>
        <w:gridCol w:w="833"/>
      </w:tblGrid>
      <w:tr w:rsidR="00151697">
        <w:trPr>
          <w:trHeight w:val="242"/>
        </w:trPr>
        <w:tc>
          <w:tcPr>
            <w:tcW w:w="2358" w:type="dxa"/>
            <w:vAlign w:val="center"/>
          </w:tcPr>
          <w:p w:rsidR="00151697" w:rsidRDefault="007E584B">
            <w:pPr>
              <w:jc w:val="center"/>
            </w:pPr>
            <w:r>
              <w:t>Category</w:t>
            </w:r>
          </w:p>
        </w:tc>
        <w:tc>
          <w:tcPr>
            <w:tcW w:w="915" w:type="dxa"/>
            <w:vAlign w:val="center"/>
          </w:tcPr>
          <w:p w:rsidR="00151697" w:rsidRDefault="007E584B">
            <w:pPr>
              <w:jc w:val="center"/>
            </w:pPr>
            <w:r>
              <w:t>Ukraine</w:t>
            </w:r>
          </w:p>
        </w:tc>
        <w:tc>
          <w:tcPr>
            <w:tcW w:w="1208" w:type="dxa"/>
            <w:vAlign w:val="center"/>
          </w:tcPr>
          <w:p w:rsidR="00151697" w:rsidRDefault="007E584B">
            <w:pPr>
              <w:jc w:val="center"/>
            </w:pPr>
            <w:r>
              <w:t>Russian Federation</w:t>
            </w:r>
          </w:p>
        </w:tc>
        <w:tc>
          <w:tcPr>
            <w:tcW w:w="825" w:type="dxa"/>
            <w:vAlign w:val="center"/>
          </w:tcPr>
          <w:p w:rsidR="00151697" w:rsidRDefault="007E584B">
            <w:pPr>
              <w:jc w:val="center"/>
            </w:pPr>
            <w:r>
              <w:t>Turkey</w:t>
            </w:r>
          </w:p>
        </w:tc>
        <w:tc>
          <w:tcPr>
            <w:tcW w:w="889" w:type="dxa"/>
            <w:vAlign w:val="center"/>
          </w:tcPr>
          <w:p w:rsidR="00151697" w:rsidRDefault="007E584B">
            <w:pPr>
              <w:jc w:val="center"/>
            </w:pPr>
            <w:r>
              <w:t>Israel</w:t>
            </w:r>
          </w:p>
        </w:tc>
        <w:tc>
          <w:tcPr>
            <w:tcW w:w="822" w:type="dxa"/>
            <w:vAlign w:val="center"/>
          </w:tcPr>
          <w:p w:rsidR="00151697" w:rsidRDefault="007E584B">
            <w:pPr>
              <w:jc w:val="center"/>
            </w:pPr>
            <w:r>
              <w:t>United States</w:t>
            </w:r>
          </w:p>
        </w:tc>
        <w:tc>
          <w:tcPr>
            <w:tcW w:w="1001" w:type="dxa"/>
            <w:vAlign w:val="center"/>
          </w:tcPr>
          <w:p w:rsidR="00151697" w:rsidRDefault="007E584B">
            <w:pPr>
              <w:jc w:val="center"/>
            </w:pPr>
            <w:r>
              <w:t>United Arab Emirates</w:t>
            </w:r>
          </w:p>
        </w:tc>
        <w:tc>
          <w:tcPr>
            <w:tcW w:w="1008" w:type="dxa"/>
            <w:vAlign w:val="center"/>
          </w:tcPr>
          <w:p w:rsidR="00151697" w:rsidRDefault="007E584B">
            <w:pPr>
              <w:jc w:val="center"/>
            </w:pPr>
            <w:r>
              <w:t>United Kingdom</w:t>
            </w:r>
          </w:p>
        </w:tc>
        <w:tc>
          <w:tcPr>
            <w:tcW w:w="1225" w:type="dxa"/>
            <w:vAlign w:val="center"/>
          </w:tcPr>
          <w:p w:rsidR="00151697" w:rsidRDefault="007E584B">
            <w:pPr>
              <w:jc w:val="center"/>
            </w:pPr>
            <w:r>
              <w:t>Kazakhstan</w:t>
            </w:r>
          </w:p>
        </w:tc>
        <w:tc>
          <w:tcPr>
            <w:tcW w:w="1038" w:type="dxa"/>
            <w:vAlign w:val="center"/>
          </w:tcPr>
          <w:p w:rsidR="00151697" w:rsidRDefault="007E584B">
            <w:pPr>
              <w:jc w:val="center"/>
            </w:pPr>
            <w:r>
              <w:t>Germany</w:t>
            </w:r>
          </w:p>
        </w:tc>
        <w:tc>
          <w:tcPr>
            <w:tcW w:w="833" w:type="dxa"/>
            <w:vAlign w:val="center"/>
          </w:tcPr>
          <w:p w:rsidR="00151697" w:rsidRDefault="007E584B">
            <w:pPr>
              <w:jc w:val="center"/>
            </w:pPr>
            <w:r>
              <w:t>Poland</w:t>
            </w:r>
          </w:p>
        </w:tc>
      </w:tr>
      <w:tr w:rsidR="00151697">
        <w:trPr>
          <w:trHeight w:val="242"/>
        </w:trPr>
        <w:tc>
          <w:tcPr>
            <w:tcW w:w="2358" w:type="dxa"/>
            <w:vAlign w:val="center"/>
          </w:tcPr>
          <w:p w:rsidR="00151697" w:rsidRDefault="007E584B">
            <w:pPr>
              <w:jc w:val="center"/>
            </w:pPr>
            <w:r>
              <w:t>Accommodation</w:t>
            </w:r>
          </w:p>
        </w:tc>
        <w:tc>
          <w:tcPr>
            <w:tcW w:w="915" w:type="dxa"/>
            <w:vAlign w:val="center"/>
          </w:tcPr>
          <w:p w:rsidR="00151697" w:rsidRDefault="007E584B">
            <w:pPr>
              <w:jc w:val="center"/>
            </w:pPr>
            <w:r>
              <w:t>15%</w:t>
            </w:r>
          </w:p>
        </w:tc>
        <w:tc>
          <w:tcPr>
            <w:tcW w:w="1208" w:type="dxa"/>
            <w:vAlign w:val="center"/>
          </w:tcPr>
          <w:p w:rsidR="00151697" w:rsidRDefault="007E584B">
            <w:pPr>
              <w:jc w:val="center"/>
            </w:pPr>
            <w:r>
              <w:t>16.6%</w:t>
            </w:r>
          </w:p>
        </w:tc>
        <w:tc>
          <w:tcPr>
            <w:tcW w:w="825" w:type="dxa"/>
            <w:vAlign w:val="center"/>
          </w:tcPr>
          <w:p w:rsidR="00151697" w:rsidRDefault="007E584B">
            <w:pPr>
              <w:jc w:val="center"/>
            </w:pPr>
            <w:r>
              <w:t>5.6%</w:t>
            </w:r>
          </w:p>
        </w:tc>
        <w:tc>
          <w:tcPr>
            <w:tcW w:w="889" w:type="dxa"/>
            <w:vAlign w:val="center"/>
          </w:tcPr>
          <w:p w:rsidR="00151697" w:rsidRDefault="007E584B">
            <w:pPr>
              <w:jc w:val="center"/>
            </w:pPr>
            <w:r>
              <w:t>14.2%</w:t>
            </w:r>
          </w:p>
        </w:tc>
        <w:tc>
          <w:tcPr>
            <w:tcW w:w="822" w:type="dxa"/>
            <w:vAlign w:val="center"/>
          </w:tcPr>
          <w:p w:rsidR="00151697" w:rsidRDefault="007E584B">
            <w:pPr>
              <w:jc w:val="center"/>
            </w:pPr>
            <w:r>
              <w:t>33.4%</w:t>
            </w:r>
          </w:p>
        </w:tc>
        <w:tc>
          <w:tcPr>
            <w:tcW w:w="1001" w:type="dxa"/>
            <w:vAlign w:val="center"/>
          </w:tcPr>
          <w:p w:rsidR="00151697" w:rsidRDefault="007E584B">
            <w:pPr>
              <w:jc w:val="center"/>
            </w:pPr>
            <w:r>
              <w:t>26.3%</w:t>
            </w:r>
          </w:p>
        </w:tc>
        <w:tc>
          <w:tcPr>
            <w:tcW w:w="1008" w:type="dxa"/>
            <w:vAlign w:val="center"/>
          </w:tcPr>
          <w:p w:rsidR="00151697" w:rsidRDefault="007E584B">
            <w:pPr>
              <w:jc w:val="center"/>
            </w:pPr>
            <w:r>
              <w:t>28.8%</w:t>
            </w:r>
          </w:p>
        </w:tc>
        <w:tc>
          <w:tcPr>
            <w:tcW w:w="1225" w:type="dxa"/>
            <w:vAlign w:val="center"/>
          </w:tcPr>
          <w:p w:rsidR="00151697" w:rsidRDefault="007E584B">
            <w:pPr>
              <w:jc w:val="center"/>
            </w:pPr>
            <w:r>
              <w:t>20.7%</w:t>
            </w:r>
          </w:p>
        </w:tc>
        <w:tc>
          <w:tcPr>
            <w:tcW w:w="1038" w:type="dxa"/>
            <w:vAlign w:val="center"/>
          </w:tcPr>
          <w:p w:rsidR="00151697" w:rsidRDefault="007E584B">
            <w:pPr>
              <w:jc w:val="center"/>
            </w:pPr>
            <w:r>
              <w:t>23.1%</w:t>
            </w:r>
          </w:p>
        </w:tc>
        <w:tc>
          <w:tcPr>
            <w:tcW w:w="833" w:type="dxa"/>
            <w:vAlign w:val="center"/>
          </w:tcPr>
          <w:p w:rsidR="00151697" w:rsidRDefault="007E584B">
            <w:pPr>
              <w:jc w:val="center"/>
            </w:pPr>
            <w:r>
              <w:t>20.4%</w:t>
            </w:r>
          </w:p>
        </w:tc>
      </w:tr>
      <w:tr w:rsidR="00151697">
        <w:trPr>
          <w:trHeight w:val="242"/>
        </w:trPr>
        <w:tc>
          <w:tcPr>
            <w:tcW w:w="2358" w:type="dxa"/>
            <w:vAlign w:val="center"/>
          </w:tcPr>
          <w:p w:rsidR="00151697" w:rsidRDefault="007E584B">
            <w:pPr>
              <w:jc w:val="center"/>
            </w:pPr>
            <w:r>
              <w:t>Restaurants</w:t>
            </w:r>
          </w:p>
        </w:tc>
        <w:tc>
          <w:tcPr>
            <w:tcW w:w="915" w:type="dxa"/>
            <w:vAlign w:val="center"/>
          </w:tcPr>
          <w:p w:rsidR="00151697" w:rsidRDefault="007E584B">
            <w:pPr>
              <w:jc w:val="center"/>
            </w:pPr>
            <w:r>
              <w:t>27.8%</w:t>
            </w:r>
          </w:p>
        </w:tc>
        <w:tc>
          <w:tcPr>
            <w:tcW w:w="1208" w:type="dxa"/>
            <w:vAlign w:val="center"/>
          </w:tcPr>
          <w:p w:rsidR="00151697" w:rsidRDefault="007E584B">
            <w:pPr>
              <w:jc w:val="center"/>
            </w:pPr>
            <w:r>
              <w:t>27.9%</w:t>
            </w:r>
          </w:p>
        </w:tc>
        <w:tc>
          <w:tcPr>
            <w:tcW w:w="825" w:type="dxa"/>
            <w:vAlign w:val="center"/>
          </w:tcPr>
          <w:p w:rsidR="00151697" w:rsidRDefault="007E584B">
            <w:pPr>
              <w:jc w:val="center"/>
            </w:pPr>
            <w:r>
              <w:t>68.4%</w:t>
            </w:r>
          </w:p>
        </w:tc>
        <w:tc>
          <w:tcPr>
            <w:tcW w:w="889" w:type="dxa"/>
            <w:vAlign w:val="center"/>
          </w:tcPr>
          <w:p w:rsidR="00151697" w:rsidRDefault="007E584B">
            <w:pPr>
              <w:jc w:val="center"/>
            </w:pPr>
            <w:r>
              <w:t>38.9%</w:t>
            </w:r>
          </w:p>
        </w:tc>
        <w:tc>
          <w:tcPr>
            <w:tcW w:w="822" w:type="dxa"/>
            <w:vAlign w:val="center"/>
          </w:tcPr>
          <w:p w:rsidR="00151697" w:rsidRDefault="007E584B">
            <w:pPr>
              <w:jc w:val="center"/>
            </w:pPr>
            <w:r>
              <w:t>17.6%</w:t>
            </w:r>
          </w:p>
        </w:tc>
        <w:tc>
          <w:tcPr>
            <w:tcW w:w="1001" w:type="dxa"/>
            <w:vAlign w:val="center"/>
          </w:tcPr>
          <w:p w:rsidR="00151697" w:rsidRDefault="007E584B">
            <w:pPr>
              <w:jc w:val="center"/>
            </w:pPr>
            <w:r>
              <w:t>34.6%</w:t>
            </w:r>
          </w:p>
        </w:tc>
        <w:tc>
          <w:tcPr>
            <w:tcW w:w="1008" w:type="dxa"/>
            <w:vAlign w:val="center"/>
          </w:tcPr>
          <w:p w:rsidR="00151697" w:rsidRDefault="007E584B">
            <w:pPr>
              <w:jc w:val="center"/>
            </w:pPr>
            <w:r>
              <w:t>24.3%</w:t>
            </w:r>
          </w:p>
        </w:tc>
        <w:tc>
          <w:tcPr>
            <w:tcW w:w="1225" w:type="dxa"/>
            <w:vAlign w:val="center"/>
          </w:tcPr>
          <w:p w:rsidR="00151697" w:rsidRDefault="007E584B">
            <w:pPr>
              <w:jc w:val="center"/>
            </w:pPr>
            <w:r>
              <w:t>31.2%</w:t>
            </w:r>
          </w:p>
        </w:tc>
        <w:tc>
          <w:tcPr>
            <w:tcW w:w="1038" w:type="dxa"/>
            <w:vAlign w:val="center"/>
          </w:tcPr>
          <w:p w:rsidR="00151697" w:rsidRDefault="007E584B">
            <w:pPr>
              <w:jc w:val="center"/>
            </w:pPr>
            <w:r>
              <w:t>22.8%</w:t>
            </w:r>
          </w:p>
        </w:tc>
        <w:tc>
          <w:tcPr>
            <w:tcW w:w="833" w:type="dxa"/>
            <w:vAlign w:val="center"/>
          </w:tcPr>
          <w:p w:rsidR="00151697" w:rsidRDefault="007E584B">
            <w:pPr>
              <w:jc w:val="center"/>
            </w:pPr>
            <w:r>
              <w:t>23.7%</w:t>
            </w:r>
          </w:p>
        </w:tc>
      </w:tr>
      <w:tr w:rsidR="00151697">
        <w:trPr>
          <w:trHeight w:val="242"/>
        </w:trPr>
        <w:tc>
          <w:tcPr>
            <w:tcW w:w="2358" w:type="dxa"/>
            <w:vAlign w:val="center"/>
          </w:tcPr>
          <w:p w:rsidR="00151697" w:rsidRDefault="007E584B">
            <w:pPr>
              <w:jc w:val="center"/>
            </w:pPr>
            <w:r>
              <w:t>Home Goods</w:t>
            </w:r>
          </w:p>
        </w:tc>
        <w:tc>
          <w:tcPr>
            <w:tcW w:w="915" w:type="dxa"/>
            <w:vAlign w:val="center"/>
          </w:tcPr>
          <w:p w:rsidR="00151697" w:rsidRDefault="007E584B">
            <w:pPr>
              <w:jc w:val="center"/>
            </w:pPr>
            <w:r>
              <w:t>1%</w:t>
            </w:r>
          </w:p>
        </w:tc>
        <w:tc>
          <w:tcPr>
            <w:tcW w:w="1208" w:type="dxa"/>
            <w:vAlign w:val="center"/>
          </w:tcPr>
          <w:p w:rsidR="00151697" w:rsidRDefault="007E584B">
            <w:pPr>
              <w:jc w:val="center"/>
            </w:pPr>
            <w:r>
              <w:t>2.1%</w:t>
            </w:r>
          </w:p>
        </w:tc>
        <w:tc>
          <w:tcPr>
            <w:tcW w:w="825" w:type="dxa"/>
            <w:vAlign w:val="center"/>
          </w:tcPr>
          <w:p w:rsidR="00151697" w:rsidRDefault="007E584B">
            <w:pPr>
              <w:jc w:val="center"/>
            </w:pPr>
            <w:r>
              <w:t>0.2%</w:t>
            </w:r>
          </w:p>
        </w:tc>
        <w:tc>
          <w:tcPr>
            <w:tcW w:w="889" w:type="dxa"/>
            <w:vAlign w:val="center"/>
          </w:tcPr>
          <w:p w:rsidR="00151697" w:rsidRDefault="007E584B">
            <w:pPr>
              <w:jc w:val="center"/>
            </w:pPr>
            <w:r>
              <w:t>0.6%</w:t>
            </w:r>
          </w:p>
        </w:tc>
        <w:tc>
          <w:tcPr>
            <w:tcW w:w="822" w:type="dxa"/>
            <w:vAlign w:val="center"/>
          </w:tcPr>
          <w:p w:rsidR="00151697" w:rsidRDefault="007E584B">
            <w:pPr>
              <w:jc w:val="center"/>
            </w:pPr>
            <w:r>
              <w:t>2.7%</w:t>
            </w:r>
          </w:p>
        </w:tc>
        <w:tc>
          <w:tcPr>
            <w:tcW w:w="1001" w:type="dxa"/>
            <w:vAlign w:val="center"/>
          </w:tcPr>
          <w:p w:rsidR="00151697" w:rsidRDefault="007E584B">
            <w:pPr>
              <w:jc w:val="center"/>
            </w:pPr>
            <w:r>
              <w:t>0.6%</w:t>
            </w:r>
          </w:p>
        </w:tc>
        <w:tc>
          <w:tcPr>
            <w:tcW w:w="1008" w:type="dxa"/>
            <w:vAlign w:val="center"/>
          </w:tcPr>
          <w:p w:rsidR="00151697" w:rsidRDefault="007E584B">
            <w:pPr>
              <w:jc w:val="center"/>
            </w:pPr>
            <w:r>
              <w:t>1.7%</w:t>
            </w:r>
          </w:p>
        </w:tc>
        <w:tc>
          <w:tcPr>
            <w:tcW w:w="1225" w:type="dxa"/>
            <w:vAlign w:val="center"/>
          </w:tcPr>
          <w:p w:rsidR="00151697" w:rsidRDefault="007E584B">
            <w:pPr>
              <w:jc w:val="center"/>
            </w:pPr>
            <w:r>
              <w:t>0.9%</w:t>
            </w:r>
          </w:p>
        </w:tc>
        <w:tc>
          <w:tcPr>
            <w:tcW w:w="1038" w:type="dxa"/>
            <w:vAlign w:val="center"/>
          </w:tcPr>
          <w:p w:rsidR="00151697" w:rsidRDefault="007E584B">
            <w:pPr>
              <w:jc w:val="center"/>
            </w:pPr>
            <w:r>
              <w:t>2.5%</w:t>
            </w:r>
          </w:p>
        </w:tc>
        <w:tc>
          <w:tcPr>
            <w:tcW w:w="833" w:type="dxa"/>
            <w:vAlign w:val="center"/>
          </w:tcPr>
          <w:p w:rsidR="00151697" w:rsidRDefault="007E584B">
            <w:pPr>
              <w:jc w:val="center"/>
            </w:pPr>
            <w:r>
              <w:t>0.8%</w:t>
            </w:r>
          </w:p>
        </w:tc>
      </w:tr>
      <w:tr w:rsidR="00151697">
        <w:trPr>
          <w:trHeight w:val="242"/>
        </w:trPr>
        <w:tc>
          <w:tcPr>
            <w:tcW w:w="2358" w:type="dxa"/>
            <w:vAlign w:val="center"/>
          </w:tcPr>
          <w:p w:rsidR="00151697" w:rsidRDefault="007E584B">
            <w:pPr>
              <w:jc w:val="center"/>
            </w:pPr>
            <w:r>
              <w:t>Professional Services</w:t>
            </w:r>
          </w:p>
        </w:tc>
        <w:tc>
          <w:tcPr>
            <w:tcW w:w="915" w:type="dxa"/>
            <w:vAlign w:val="center"/>
          </w:tcPr>
          <w:p w:rsidR="00151697" w:rsidRDefault="007E584B">
            <w:pPr>
              <w:jc w:val="center"/>
            </w:pPr>
            <w:r>
              <w:t>0.7%</w:t>
            </w:r>
          </w:p>
        </w:tc>
        <w:tc>
          <w:tcPr>
            <w:tcW w:w="1208" w:type="dxa"/>
            <w:vAlign w:val="center"/>
          </w:tcPr>
          <w:p w:rsidR="00151697" w:rsidRDefault="007E584B">
            <w:pPr>
              <w:jc w:val="center"/>
            </w:pPr>
            <w:r>
              <w:t>0.6%</w:t>
            </w:r>
          </w:p>
        </w:tc>
        <w:tc>
          <w:tcPr>
            <w:tcW w:w="825" w:type="dxa"/>
            <w:vAlign w:val="center"/>
          </w:tcPr>
          <w:p w:rsidR="00151697" w:rsidRDefault="007E584B">
            <w:pPr>
              <w:jc w:val="center"/>
            </w:pPr>
            <w:r>
              <w:t>0.2%</w:t>
            </w:r>
          </w:p>
        </w:tc>
        <w:tc>
          <w:tcPr>
            <w:tcW w:w="889" w:type="dxa"/>
            <w:vAlign w:val="center"/>
          </w:tcPr>
          <w:p w:rsidR="00151697" w:rsidRDefault="007E584B">
            <w:pPr>
              <w:jc w:val="center"/>
            </w:pPr>
            <w:r>
              <w:t>0.2%</w:t>
            </w:r>
          </w:p>
        </w:tc>
        <w:tc>
          <w:tcPr>
            <w:tcW w:w="822" w:type="dxa"/>
            <w:vAlign w:val="center"/>
          </w:tcPr>
          <w:p w:rsidR="00151697" w:rsidRDefault="007E584B">
            <w:pPr>
              <w:jc w:val="center"/>
            </w:pPr>
            <w:r>
              <w:t>0.7%</w:t>
            </w:r>
          </w:p>
        </w:tc>
        <w:tc>
          <w:tcPr>
            <w:tcW w:w="1001" w:type="dxa"/>
            <w:vAlign w:val="center"/>
          </w:tcPr>
          <w:p w:rsidR="00151697" w:rsidRDefault="007E584B">
            <w:pPr>
              <w:jc w:val="center"/>
            </w:pPr>
            <w:r>
              <w:t>0.2%</w:t>
            </w:r>
          </w:p>
        </w:tc>
        <w:tc>
          <w:tcPr>
            <w:tcW w:w="1008" w:type="dxa"/>
            <w:vAlign w:val="center"/>
          </w:tcPr>
          <w:p w:rsidR="00151697" w:rsidRDefault="007E584B">
            <w:pPr>
              <w:jc w:val="center"/>
            </w:pPr>
            <w:r>
              <w:t>0.6%</w:t>
            </w:r>
          </w:p>
        </w:tc>
        <w:tc>
          <w:tcPr>
            <w:tcW w:w="1225" w:type="dxa"/>
            <w:vAlign w:val="center"/>
          </w:tcPr>
          <w:p w:rsidR="00151697" w:rsidRDefault="007E584B">
            <w:pPr>
              <w:jc w:val="center"/>
            </w:pPr>
            <w:r>
              <w:t>0.5%</w:t>
            </w:r>
          </w:p>
        </w:tc>
        <w:tc>
          <w:tcPr>
            <w:tcW w:w="1038" w:type="dxa"/>
            <w:vAlign w:val="center"/>
          </w:tcPr>
          <w:p w:rsidR="00151697" w:rsidRDefault="007E584B">
            <w:pPr>
              <w:jc w:val="center"/>
            </w:pPr>
            <w:r>
              <w:t>0.8%</w:t>
            </w:r>
          </w:p>
        </w:tc>
        <w:tc>
          <w:tcPr>
            <w:tcW w:w="833" w:type="dxa"/>
            <w:vAlign w:val="center"/>
          </w:tcPr>
          <w:p w:rsidR="00151697" w:rsidRDefault="007E584B">
            <w:pPr>
              <w:jc w:val="center"/>
            </w:pPr>
            <w:r>
              <w:t>1%</w:t>
            </w:r>
          </w:p>
        </w:tc>
      </w:tr>
      <w:tr w:rsidR="00151697">
        <w:trPr>
          <w:trHeight w:val="242"/>
        </w:trPr>
        <w:tc>
          <w:tcPr>
            <w:tcW w:w="2358" w:type="dxa"/>
            <w:vAlign w:val="center"/>
          </w:tcPr>
          <w:p w:rsidR="00151697" w:rsidRDefault="007E584B">
            <w:pPr>
              <w:jc w:val="center"/>
            </w:pPr>
            <w:r>
              <w:t>Transportation &amp; Travel</w:t>
            </w:r>
          </w:p>
        </w:tc>
        <w:tc>
          <w:tcPr>
            <w:tcW w:w="915" w:type="dxa"/>
            <w:vAlign w:val="center"/>
          </w:tcPr>
          <w:p w:rsidR="00151697" w:rsidRDefault="007E584B">
            <w:pPr>
              <w:jc w:val="center"/>
            </w:pPr>
            <w:r>
              <w:t>0.9%</w:t>
            </w:r>
          </w:p>
        </w:tc>
        <w:tc>
          <w:tcPr>
            <w:tcW w:w="1208" w:type="dxa"/>
            <w:vAlign w:val="center"/>
          </w:tcPr>
          <w:p w:rsidR="00151697" w:rsidRDefault="007E584B">
            <w:pPr>
              <w:jc w:val="center"/>
            </w:pPr>
            <w:r>
              <w:t>0.7%</w:t>
            </w:r>
          </w:p>
        </w:tc>
        <w:tc>
          <w:tcPr>
            <w:tcW w:w="825" w:type="dxa"/>
            <w:vAlign w:val="center"/>
          </w:tcPr>
          <w:p w:rsidR="00151697" w:rsidRDefault="007E584B">
            <w:pPr>
              <w:jc w:val="center"/>
            </w:pPr>
            <w:r>
              <w:t>0.3%</w:t>
            </w:r>
          </w:p>
        </w:tc>
        <w:tc>
          <w:tcPr>
            <w:tcW w:w="889" w:type="dxa"/>
            <w:vAlign w:val="center"/>
          </w:tcPr>
          <w:p w:rsidR="00151697" w:rsidRDefault="007E584B">
            <w:pPr>
              <w:jc w:val="center"/>
            </w:pPr>
            <w:r>
              <w:t>0.2%</w:t>
            </w:r>
          </w:p>
        </w:tc>
        <w:tc>
          <w:tcPr>
            <w:tcW w:w="822" w:type="dxa"/>
            <w:vAlign w:val="center"/>
          </w:tcPr>
          <w:p w:rsidR="00151697" w:rsidRDefault="007E584B">
            <w:pPr>
              <w:jc w:val="center"/>
            </w:pPr>
            <w:r>
              <w:t>0.9%</w:t>
            </w:r>
          </w:p>
        </w:tc>
        <w:tc>
          <w:tcPr>
            <w:tcW w:w="1001" w:type="dxa"/>
            <w:vAlign w:val="center"/>
          </w:tcPr>
          <w:p w:rsidR="00151697" w:rsidRDefault="007E584B">
            <w:pPr>
              <w:jc w:val="center"/>
            </w:pPr>
            <w:r>
              <w:t>0.5%</w:t>
            </w:r>
          </w:p>
        </w:tc>
        <w:tc>
          <w:tcPr>
            <w:tcW w:w="1008" w:type="dxa"/>
            <w:vAlign w:val="center"/>
          </w:tcPr>
          <w:p w:rsidR="00151697" w:rsidRDefault="007E584B">
            <w:pPr>
              <w:jc w:val="center"/>
            </w:pPr>
            <w:r>
              <w:t>0.7%</w:t>
            </w:r>
          </w:p>
        </w:tc>
        <w:tc>
          <w:tcPr>
            <w:tcW w:w="1225" w:type="dxa"/>
            <w:vAlign w:val="center"/>
          </w:tcPr>
          <w:p w:rsidR="00151697" w:rsidRDefault="007E584B">
            <w:pPr>
              <w:jc w:val="center"/>
            </w:pPr>
            <w:r>
              <w:t>0.5%</w:t>
            </w:r>
          </w:p>
        </w:tc>
        <w:tc>
          <w:tcPr>
            <w:tcW w:w="1038" w:type="dxa"/>
            <w:vAlign w:val="center"/>
          </w:tcPr>
          <w:p w:rsidR="00151697" w:rsidRDefault="007E584B">
            <w:pPr>
              <w:jc w:val="center"/>
            </w:pPr>
            <w:r>
              <w:t>1.1%</w:t>
            </w:r>
          </w:p>
        </w:tc>
        <w:tc>
          <w:tcPr>
            <w:tcW w:w="833" w:type="dxa"/>
            <w:vAlign w:val="center"/>
          </w:tcPr>
          <w:p w:rsidR="00151697" w:rsidRDefault="007E584B">
            <w:pPr>
              <w:jc w:val="center"/>
            </w:pPr>
            <w:r>
              <w:t>1.6%</w:t>
            </w:r>
          </w:p>
        </w:tc>
      </w:tr>
      <w:tr w:rsidR="00151697">
        <w:trPr>
          <w:trHeight w:val="242"/>
        </w:trPr>
        <w:tc>
          <w:tcPr>
            <w:tcW w:w="2358" w:type="dxa"/>
            <w:vAlign w:val="center"/>
          </w:tcPr>
          <w:p w:rsidR="00151697" w:rsidRDefault="007E584B">
            <w:pPr>
              <w:jc w:val="center"/>
            </w:pPr>
            <w:r>
              <w:t>Retail</w:t>
            </w:r>
          </w:p>
        </w:tc>
        <w:tc>
          <w:tcPr>
            <w:tcW w:w="915" w:type="dxa"/>
            <w:vAlign w:val="center"/>
          </w:tcPr>
          <w:p w:rsidR="00151697" w:rsidRDefault="007E584B">
            <w:pPr>
              <w:jc w:val="center"/>
            </w:pPr>
            <w:r>
              <w:t>17.1%</w:t>
            </w:r>
          </w:p>
        </w:tc>
        <w:tc>
          <w:tcPr>
            <w:tcW w:w="1208" w:type="dxa"/>
            <w:vAlign w:val="center"/>
          </w:tcPr>
          <w:p w:rsidR="00151697" w:rsidRDefault="007E584B">
            <w:pPr>
              <w:jc w:val="center"/>
            </w:pPr>
            <w:r>
              <w:t>15.6%</w:t>
            </w:r>
          </w:p>
        </w:tc>
        <w:tc>
          <w:tcPr>
            <w:tcW w:w="825" w:type="dxa"/>
            <w:vAlign w:val="center"/>
          </w:tcPr>
          <w:p w:rsidR="00151697" w:rsidRDefault="007E584B">
            <w:pPr>
              <w:jc w:val="center"/>
            </w:pPr>
            <w:r>
              <w:t>3.9%</w:t>
            </w:r>
          </w:p>
        </w:tc>
        <w:tc>
          <w:tcPr>
            <w:tcW w:w="889" w:type="dxa"/>
            <w:vAlign w:val="center"/>
          </w:tcPr>
          <w:p w:rsidR="00151697" w:rsidRDefault="007E584B">
            <w:pPr>
              <w:jc w:val="center"/>
            </w:pPr>
            <w:r>
              <w:t>21.9%</w:t>
            </w:r>
          </w:p>
        </w:tc>
        <w:tc>
          <w:tcPr>
            <w:tcW w:w="822" w:type="dxa"/>
            <w:vAlign w:val="center"/>
          </w:tcPr>
          <w:p w:rsidR="00151697" w:rsidRDefault="007E584B">
            <w:pPr>
              <w:jc w:val="center"/>
            </w:pPr>
            <w:r>
              <w:t>9%</w:t>
            </w:r>
          </w:p>
        </w:tc>
        <w:tc>
          <w:tcPr>
            <w:tcW w:w="1001" w:type="dxa"/>
            <w:vAlign w:val="center"/>
          </w:tcPr>
          <w:p w:rsidR="00151697" w:rsidRDefault="007E584B">
            <w:pPr>
              <w:jc w:val="center"/>
            </w:pPr>
            <w:r>
              <w:t>11.7%</w:t>
            </w:r>
          </w:p>
        </w:tc>
        <w:tc>
          <w:tcPr>
            <w:tcW w:w="1008" w:type="dxa"/>
            <w:vAlign w:val="center"/>
          </w:tcPr>
          <w:p w:rsidR="00151697" w:rsidRDefault="007E584B">
            <w:pPr>
              <w:jc w:val="center"/>
            </w:pPr>
            <w:r>
              <w:t>8.9%</w:t>
            </w:r>
          </w:p>
        </w:tc>
        <w:tc>
          <w:tcPr>
            <w:tcW w:w="1225" w:type="dxa"/>
            <w:vAlign w:val="center"/>
          </w:tcPr>
          <w:p w:rsidR="00151697" w:rsidRDefault="007E584B">
            <w:pPr>
              <w:jc w:val="center"/>
            </w:pPr>
            <w:r>
              <w:t>19.2%</w:t>
            </w:r>
          </w:p>
        </w:tc>
        <w:tc>
          <w:tcPr>
            <w:tcW w:w="1038" w:type="dxa"/>
            <w:vAlign w:val="center"/>
          </w:tcPr>
          <w:p w:rsidR="00151697" w:rsidRDefault="007E584B">
            <w:pPr>
              <w:jc w:val="center"/>
            </w:pPr>
            <w:r>
              <w:t>12.5%</w:t>
            </w:r>
          </w:p>
        </w:tc>
        <w:tc>
          <w:tcPr>
            <w:tcW w:w="833" w:type="dxa"/>
            <w:vAlign w:val="center"/>
          </w:tcPr>
          <w:p w:rsidR="00151697" w:rsidRDefault="007E584B">
            <w:pPr>
              <w:jc w:val="center"/>
            </w:pPr>
            <w:r>
              <w:t>11%</w:t>
            </w:r>
          </w:p>
        </w:tc>
      </w:tr>
      <w:tr w:rsidR="00151697">
        <w:trPr>
          <w:trHeight w:val="242"/>
        </w:trPr>
        <w:tc>
          <w:tcPr>
            <w:tcW w:w="2358" w:type="dxa"/>
            <w:vAlign w:val="center"/>
          </w:tcPr>
          <w:p w:rsidR="00151697" w:rsidRDefault="007E584B">
            <w:pPr>
              <w:jc w:val="center"/>
            </w:pPr>
            <w:r>
              <w:t>Miscellaneous</w:t>
            </w:r>
          </w:p>
        </w:tc>
        <w:tc>
          <w:tcPr>
            <w:tcW w:w="915" w:type="dxa"/>
            <w:vAlign w:val="center"/>
          </w:tcPr>
          <w:p w:rsidR="00151697" w:rsidRDefault="007E584B">
            <w:pPr>
              <w:jc w:val="center"/>
            </w:pPr>
            <w:r>
              <w:t>15%</w:t>
            </w:r>
          </w:p>
        </w:tc>
        <w:tc>
          <w:tcPr>
            <w:tcW w:w="1208" w:type="dxa"/>
            <w:vAlign w:val="center"/>
          </w:tcPr>
          <w:p w:rsidR="00151697" w:rsidRDefault="007E584B">
            <w:pPr>
              <w:jc w:val="center"/>
            </w:pPr>
            <w:r>
              <w:t>18.5%</w:t>
            </w:r>
          </w:p>
        </w:tc>
        <w:tc>
          <w:tcPr>
            <w:tcW w:w="825" w:type="dxa"/>
            <w:vAlign w:val="center"/>
          </w:tcPr>
          <w:p w:rsidR="00151697" w:rsidRDefault="007E584B">
            <w:pPr>
              <w:jc w:val="center"/>
            </w:pPr>
            <w:r>
              <w:t>10.7%</w:t>
            </w:r>
          </w:p>
        </w:tc>
        <w:tc>
          <w:tcPr>
            <w:tcW w:w="889" w:type="dxa"/>
            <w:vAlign w:val="center"/>
          </w:tcPr>
          <w:p w:rsidR="00151697" w:rsidRDefault="007E584B">
            <w:pPr>
              <w:jc w:val="center"/>
            </w:pPr>
            <w:r>
              <w:t>7.1%</w:t>
            </w:r>
          </w:p>
        </w:tc>
        <w:tc>
          <w:tcPr>
            <w:tcW w:w="822" w:type="dxa"/>
            <w:vAlign w:val="center"/>
          </w:tcPr>
          <w:p w:rsidR="00151697" w:rsidRDefault="007E584B">
            <w:pPr>
              <w:jc w:val="center"/>
            </w:pPr>
            <w:r>
              <w:t>19.2%</w:t>
            </w:r>
          </w:p>
        </w:tc>
        <w:tc>
          <w:tcPr>
            <w:tcW w:w="1001" w:type="dxa"/>
            <w:vAlign w:val="center"/>
          </w:tcPr>
          <w:p w:rsidR="00151697" w:rsidRDefault="007E584B">
            <w:pPr>
              <w:jc w:val="center"/>
            </w:pPr>
            <w:r>
              <w:t>9.7%</w:t>
            </w:r>
          </w:p>
        </w:tc>
        <w:tc>
          <w:tcPr>
            <w:tcW w:w="1008" w:type="dxa"/>
            <w:vAlign w:val="center"/>
          </w:tcPr>
          <w:p w:rsidR="00151697" w:rsidRDefault="007E584B">
            <w:pPr>
              <w:jc w:val="center"/>
            </w:pPr>
            <w:r>
              <w:t>14.9%</w:t>
            </w:r>
          </w:p>
        </w:tc>
        <w:tc>
          <w:tcPr>
            <w:tcW w:w="1225" w:type="dxa"/>
            <w:vAlign w:val="center"/>
          </w:tcPr>
          <w:p w:rsidR="00151697" w:rsidRDefault="007E584B">
            <w:pPr>
              <w:jc w:val="center"/>
            </w:pPr>
            <w:r>
              <w:t>10.8%</w:t>
            </w:r>
          </w:p>
        </w:tc>
        <w:tc>
          <w:tcPr>
            <w:tcW w:w="1038" w:type="dxa"/>
            <w:vAlign w:val="center"/>
          </w:tcPr>
          <w:p w:rsidR="00151697" w:rsidRDefault="007E584B">
            <w:pPr>
              <w:jc w:val="center"/>
            </w:pPr>
            <w:r>
              <w:t>19.3%</w:t>
            </w:r>
          </w:p>
        </w:tc>
        <w:tc>
          <w:tcPr>
            <w:tcW w:w="833" w:type="dxa"/>
            <w:vAlign w:val="center"/>
          </w:tcPr>
          <w:p w:rsidR="00151697" w:rsidRDefault="007E584B">
            <w:pPr>
              <w:jc w:val="center"/>
            </w:pPr>
            <w:r>
              <w:t>20.3%</w:t>
            </w:r>
          </w:p>
        </w:tc>
      </w:tr>
      <w:tr w:rsidR="00151697">
        <w:trPr>
          <w:trHeight w:val="242"/>
        </w:trPr>
        <w:tc>
          <w:tcPr>
            <w:tcW w:w="2358" w:type="dxa"/>
            <w:vAlign w:val="center"/>
          </w:tcPr>
          <w:p w:rsidR="00151697" w:rsidRDefault="007E584B">
            <w:pPr>
              <w:jc w:val="center"/>
            </w:pPr>
            <w:r>
              <w:t>Grocery Stores</w:t>
            </w:r>
          </w:p>
        </w:tc>
        <w:tc>
          <w:tcPr>
            <w:tcW w:w="915" w:type="dxa"/>
            <w:vAlign w:val="center"/>
          </w:tcPr>
          <w:p w:rsidR="00151697" w:rsidRDefault="007E584B">
            <w:pPr>
              <w:jc w:val="center"/>
            </w:pPr>
            <w:r>
              <w:t>16.6%</w:t>
            </w:r>
          </w:p>
        </w:tc>
        <w:tc>
          <w:tcPr>
            <w:tcW w:w="1208" w:type="dxa"/>
            <w:vAlign w:val="center"/>
          </w:tcPr>
          <w:p w:rsidR="00151697" w:rsidRDefault="007E584B">
            <w:pPr>
              <w:jc w:val="center"/>
            </w:pPr>
            <w:r>
              <w:t>12.5%</w:t>
            </w:r>
          </w:p>
        </w:tc>
        <w:tc>
          <w:tcPr>
            <w:tcW w:w="825" w:type="dxa"/>
            <w:vAlign w:val="center"/>
          </w:tcPr>
          <w:p w:rsidR="00151697" w:rsidRDefault="007E584B">
            <w:pPr>
              <w:jc w:val="center"/>
            </w:pPr>
            <w:r>
              <w:t>3.9%</w:t>
            </w:r>
          </w:p>
        </w:tc>
        <w:tc>
          <w:tcPr>
            <w:tcW w:w="889" w:type="dxa"/>
            <w:vAlign w:val="center"/>
          </w:tcPr>
          <w:p w:rsidR="00151697" w:rsidRDefault="007E584B">
            <w:pPr>
              <w:jc w:val="center"/>
            </w:pPr>
            <w:r>
              <w:t>3.4%</w:t>
            </w:r>
          </w:p>
        </w:tc>
        <w:tc>
          <w:tcPr>
            <w:tcW w:w="822" w:type="dxa"/>
            <w:vAlign w:val="center"/>
          </w:tcPr>
          <w:p w:rsidR="00151697" w:rsidRDefault="007E584B">
            <w:pPr>
              <w:jc w:val="center"/>
            </w:pPr>
            <w:r>
              <w:t>10.8%</w:t>
            </w:r>
          </w:p>
        </w:tc>
        <w:tc>
          <w:tcPr>
            <w:tcW w:w="1001" w:type="dxa"/>
            <w:vAlign w:val="center"/>
          </w:tcPr>
          <w:p w:rsidR="00151697" w:rsidRDefault="007E584B">
            <w:pPr>
              <w:jc w:val="center"/>
            </w:pPr>
            <w:r>
              <w:t>5.1%</w:t>
            </w:r>
          </w:p>
        </w:tc>
        <w:tc>
          <w:tcPr>
            <w:tcW w:w="1008" w:type="dxa"/>
            <w:vAlign w:val="center"/>
          </w:tcPr>
          <w:p w:rsidR="00151697" w:rsidRDefault="007E584B">
            <w:pPr>
              <w:jc w:val="center"/>
            </w:pPr>
            <w:r>
              <w:t>14.5%</w:t>
            </w:r>
          </w:p>
        </w:tc>
        <w:tc>
          <w:tcPr>
            <w:tcW w:w="1225" w:type="dxa"/>
            <w:vAlign w:val="center"/>
          </w:tcPr>
          <w:p w:rsidR="00151697" w:rsidRDefault="007E584B">
            <w:pPr>
              <w:jc w:val="center"/>
            </w:pPr>
            <w:r>
              <w:t>9.5%</w:t>
            </w:r>
          </w:p>
        </w:tc>
        <w:tc>
          <w:tcPr>
            <w:tcW w:w="1038" w:type="dxa"/>
            <w:vAlign w:val="center"/>
          </w:tcPr>
          <w:p w:rsidR="00151697" w:rsidRDefault="007E584B">
            <w:pPr>
              <w:jc w:val="center"/>
            </w:pPr>
            <w:r>
              <w:t>12.1%</w:t>
            </w:r>
          </w:p>
        </w:tc>
        <w:tc>
          <w:tcPr>
            <w:tcW w:w="833" w:type="dxa"/>
            <w:vAlign w:val="center"/>
          </w:tcPr>
          <w:p w:rsidR="00151697" w:rsidRDefault="007E584B">
            <w:pPr>
              <w:jc w:val="center"/>
            </w:pPr>
            <w:r>
              <w:t>15%</w:t>
            </w:r>
          </w:p>
        </w:tc>
      </w:tr>
      <w:tr w:rsidR="00151697">
        <w:trPr>
          <w:trHeight w:val="242"/>
        </w:trPr>
        <w:tc>
          <w:tcPr>
            <w:tcW w:w="2358" w:type="dxa"/>
            <w:vAlign w:val="center"/>
          </w:tcPr>
          <w:p w:rsidR="00151697" w:rsidRDefault="007E584B">
            <w:pPr>
              <w:jc w:val="center"/>
            </w:pPr>
            <w:r>
              <w:t>Health/beauty/medical supplies</w:t>
            </w:r>
          </w:p>
        </w:tc>
        <w:tc>
          <w:tcPr>
            <w:tcW w:w="915" w:type="dxa"/>
            <w:vAlign w:val="center"/>
          </w:tcPr>
          <w:p w:rsidR="00151697" w:rsidRDefault="007E584B">
            <w:pPr>
              <w:jc w:val="center"/>
            </w:pPr>
            <w:r>
              <w:t>3.4%</w:t>
            </w:r>
          </w:p>
        </w:tc>
        <w:tc>
          <w:tcPr>
            <w:tcW w:w="1208" w:type="dxa"/>
            <w:vAlign w:val="center"/>
          </w:tcPr>
          <w:p w:rsidR="00151697" w:rsidRDefault="007E584B">
            <w:pPr>
              <w:jc w:val="center"/>
            </w:pPr>
            <w:r>
              <w:t>4.1%</w:t>
            </w:r>
          </w:p>
        </w:tc>
        <w:tc>
          <w:tcPr>
            <w:tcW w:w="825" w:type="dxa"/>
            <w:vAlign w:val="center"/>
          </w:tcPr>
          <w:p w:rsidR="00151697" w:rsidRDefault="007E584B">
            <w:pPr>
              <w:jc w:val="center"/>
            </w:pPr>
            <w:r>
              <w:t>0.7%</w:t>
            </w:r>
          </w:p>
        </w:tc>
        <w:tc>
          <w:tcPr>
            <w:tcW w:w="889" w:type="dxa"/>
            <w:vAlign w:val="center"/>
          </w:tcPr>
          <w:p w:rsidR="00151697" w:rsidRDefault="007E584B">
            <w:pPr>
              <w:jc w:val="center"/>
            </w:pPr>
            <w:r>
              <w:t>3.5%</w:t>
            </w:r>
          </w:p>
        </w:tc>
        <w:tc>
          <w:tcPr>
            <w:tcW w:w="822" w:type="dxa"/>
            <w:vAlign w:val="center"/>
          </w:tcPr>
          <w:p w:rsidR="00151697" w:rsidRDefault="007E584B">
            <w:pPr>
              <w:jc w:val="center"/>
            </w:pPr>
            <w:r>
              <w:t>4.6%</w:t>
            </w:r>
          </w:p>
        </w:tc>
        <w:tc>
          <w:tcPr>
            <w:tcW w:w="1001" w:type="dxa"/>
            <w:vAlign w:val="center"/>
          </w:tcPr>
          <w:p w:rsidR="00151697" w:rsidRDefault="007E584B">
            <w:pPr>
              <w:jc w:val="center"/>
            </w:pPr>
            <w:r>
              <w:t>2.4%</w:t>
            </w:r>
          </w:p>
        </w:tc>
        <w:tc>
          <w:tcPr>
            <w:tcW w:w="1008" w:type="dxa"/>
            <w:vAlign w:val="center"/>
          </w:tcPr>
          <w:p w:rsidR="00151697" w:rsidRDefault="007E584B">
            <w:pPr>
              <w:jc w:val="center"/>
            </w:pPr>
            <w:r>
              <w:t>4.4%</w:t>
            </w:r>
          </w:p>
        </w:tc>
        <w:tc>
          <w:tcPr>
            <w:tcW w:w="1225" w:type="dxa"/>
            <w:vAlign w:val="center"/>
          </w:tcPr>
          <w:p w:rsidR="00151697" w:rsidRDefault="007E584B">
            <w:pPr>
              <w:jc w:val="center"/>
            </w:pPr>
            <w:r>
              <w:t>3.4%</w:t>
            </w:r>
          </w:p>
        </w:tc>
        <w:tc>
          <w:tcPr>
            <w:tcW w:w="1038" w:type="dxa"/>
            <w:vAlign w:val="center"/>
          </w:tcPr>
          <w:p w:rsidR="00151697" w:rsidRDefault="007E584B">
            <w:pPr>
              <w:jc w:val="center"/>
            </w:pPr>
            <w:r>
              <w:t>4.6%</w:t>
            </w:r>
          </w:p>
        </w:tc>
        <w:tc>
          <w:tcPr>
            <w:tcW w:w="833" w:type="dxa"/>
            <w:vAlign w:val="center"/>
          </w:tcPr>
          <w:p w:rsidR="00151697" w:rsidRDefault="007E584B">
            <w:pPr>
              <w:jc w:val="center"/>
            </w:pPr>
            <w:r>
              <w:t>3.1%</w:t>
            </w:r>
          </w:p>
        </w:tc>
      </w:tr>
      <w:tr w:rsidR="00151697">
        <w:trPr>
          <w:trHeight w:val="242"/>
        </w:trPr>
        <w:tc>
          <w:tcPr>
            <w:tcW w:w="2358" w:type="dxa"/>
            <w:vAlign w:val="center"/>
          </w:tcPr>
          <w:p w:rsidR="00151697" w:rsidRDefault="007E584B">
            <w:pPr>
              <w:jc w:val="center"/>
            </w:pPr>
            <w:r>
              <w:t>Miscellaneous entertainment and recreation</w:t>
            </w:r>
          </w:p>
        </w:tc>
        <w:tc>
          <w:tcPr>
            <w:tcW w:w="915" w:type="dxa"/>
            <w:vAlign w:val="center"/>
          </w:tcPr>
          <w:p w:rsidR="00151697" w:rsidRDefault="007E584B">
            <w:pPr>
              <w:jc w:val="center"/>
            </w:pPr>
            <w:r>
              <w:t>2.4%</w:t>
            </w:r>
          </w:p>
        </w:tc>
        <w:tc>
          <w:tcPr>
            <w:tcW w:w="1208" w:type="dxa"/>
            <w:vAlign w:val="center"/>
          </w:tcPr>
          <w:p w:rsidR="00151697" w:rsidRDefault="007E584B">
            <w:pPr>
              <w:jc w:val="center"/>
            </w:pPr>
            <w:r>
              <w:t>1.4%</w:t>
            </w:r>
          </w:p>
        </w:tc>
        <w:tc>
          <w:tcPr>
            <w:tcW w:w="825" w:type="dxa"/>
            <w:vAlign w:val="center"/>
          </w:tcPr>
          <w:p w:rsidR="00151697" w:rsidRDefault="007E584B">
            <w:pPr>
              <w:jc w:val="center"/>
            </w:pPr>
            <w:r>
              <w:t>6.1%</w:t>
            </w:r>
          </w:p>
        </w:tc>
        <w:tc>
          <w:tcPr>
            <w:tcW w:w="889" w:type="dxa"/>
            <w:vAlign w:val="center"/>
          </w:tcPr>
          <w:p w:rsidR="00151697" w:rsidRDefault="007E584B">
            <w:pPr>
              <w:jc w:val="center"/>
            </w:pPr>
            <w:r>
              <w:t>10.1%</w:t>
            </w:r>
          </w:p>
        </w:tc>
        <w:tc>
          <w:tcPr>
            <w:tcW w:w="822" w:type="dxa"/>
            <w:vAlign w:val="center"/>
          </w:tcPr>
          <w:p w:rsidR="00151697" w:rsidRDefault="007E584B">
            <w:pPr>
              <w:jc w:val="center"/>
            </w:pPr>
            <w:r>
              <w:t>1.2%</w:t>
            </w:r>
          </w:p>
        </w:tc>
        <w:tc>
          <w:tcPr>
            <w:tcW w:w="1001" w:type="dxa"/>
            <w:vAlign w:val="center"/>
          </w:tcPr>
          <w:p w:rsidR="00151697" w:rsidRDefault="007E584B">
            <w:pPr>
              <w:jc w:val="center"/>
            </w:pPr>
            <w:r>
              <w:t>9.1%</w:t>
            </w:r>
          </w:p>
        </w:tc>
        <w:tc>
          <w:tcPr>
            <w:tcW w:w="1008" w:type="dxa"/>
            <w:vAlign w:val="center"/>
          </w:tcPr>
          <w:p w:rsidR="00151697" w:rsidRDefault="007E584B">
            <w:pPr>
              <w:jc w:val="center"/>
            </w:pPr>
            <w:r>
              <w:t>1.4%</w:t>
            </w:r>
          </w:p>
        </w:tc>
        <w:tc>
          <w:tcPr>
            <w:tcW w:w="1225" w:type="dxa"/>
            <w:vAlign w:val="center"/>
          </w:tcPr>
          <w:p w:rsidR="00151697" w:rsidRDefault="007E584B">
            <w:pPr>
              <w:jc w:val="center"/>
            </w:pPr>
            <w:r>
              <w:t>3.3%</w:t>
            </w:r>
          </w:p>
        </w:tc>
        <w:tc>
          <w:tcPr>
            <w:tcW w:w="1038" w:type="dxa"/>
            <w:vAlign w:val="center"/>
          </w:tcPr>
          <w:p w:rsidR="00151697" w:rsidRDefault="007E584B">
            <w:pPr>
              <w:jc w:val="center"/>
            </w:pPr>
            <w:r>
              <w:t>1.3%</w:t>
            </w:r>
          </w:p>
        </w:tc>
        <w:tc>
          <w:tcPr>
            <w:tcW w:w="833" w:type="dxa"/>
            <w:vAlign w:val="center"/>
          </w:tcPr>
          <w:p w:rsidR="00151697" w:rsidRDefault="007E584B">
            <w:pPr>
              <w:jc w:val="center"/>
            </w:pPr>
            <w:r>
              <w:t>3.2%</w:t>
            </w:r>
          </w:p>
        </w:tc>
      </w:tr>
    </w:tbl>
    <w:p w:rsidR="00F12AD6" w:rsidRDefault="00F12AD6">
      <w:pPr>
        <w:jc w:val="center"/>
        <w:rPr>
          <w:b/>
        </w:rPr>
      </w:pPr>
    </w:p>
    <w:p w:rsidR="00151697" w:rsidRDefault="007E584B">
      <w:pPr>
        <w:jc w:val="center"/>
        <w:rPr>
          <w:b/>
        </w:rPr>
      </w:pPr>
      <w:r>
        <w:rPr>
          <w:b/>
        </w:rPr>
        <w:lastRenderedPageBreak/>
        <w:t>ვიზიტის საშუალო ხანგრძლივობა (2022 წლის I კვ)</w:t>
      </w:r>
    </w:p>
    <w:p w:rsidR="00151697" w:rsidRDefault="007E584B" w:rsidP="00F12AD6">
      <w:pPr>
        <w:pBdr>
          <w:top w:val="nil"/>
          <w:left w:val="nil"/>
          <w:bottom w:val="nil"/>
          <w:right w:val="nil"/>
          <w:between w:val="nil"/>
        </w:pBdr>
        <w:ind w:left="-720"/>
        <w:jc w:val="both"/>
      </w:pPr>
      <w:r>
        <w:rPr>
          <w:color w:val="000000"/>
        </w:rPr>
        <w:t xml:space="preserve">საქართველოში დაგეგმილი მოგზაურობის საშუალო ხანგრძლივობა არის 7.8 დღე, ყველაზე დიდი პერიოდით ამერიკის შეერთებული შტატებიდან შემოსული ვიზიტორები ჩერდებიან - საშუალოდ 14.7 დღე, მას მოყვება გერმანიიდან  და დიდი ბრიტანეთიდან შემოსული ვიზიტორები 9.4 დღით. </w:t>
      </w:r>
    </w:p>
    <w:tbl>
      <w:tblPr>
        <w:tblStyle w:val="GridTable2-Accent4"/>
        <w:tblW w:w="6491" w:type="dxa"/>
        <w:jc w:val="center"/>
        <w:tblLayout w:type="fixed"/>
        <w:tblLook w:val="04A0" w:firstRow="1" w:lastRow="0" w:firstColumn="1" w:lastColumn="0" w:noHBand="0" w:noVBand="1"/>
      </w:tblPr>
      <w:tblGrid>
        <w:gridCol w:w="4590"/>
        <w:gridCol w:w="1901"/>
      </w:tblGrid>
      <w:tr w:rsidR="00151697" w:rsidTr="007E584B">
        <w:trPr>
          <w:cnfStyle w:val="100000000000" w:firstRow="1" w:lastRow="0" w:firstColumn="0" w:lastColumn="0" w:oddVBand="0" w:evenVBand="0" w:oddHBand="0"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6491" w:type="dxa"/>
            <w:gridSpan w:val="2"/>
          </w:tcPr>
          <w:p w:rsidR="00151697" w:rsidRDefault="007E584B">
            <w:pPr>
              <w:rPr>
                <w:color w:val="44546A"/>
                <w:sz w:val="24"/>
                <w:szCs w:val="24"/>
              </w:rPr>
            </w:pPr>
            <w:r>
              <w:rPr>
                <w:color w:val="44546A"/>
                <w:sz w:val="24"/>
                <w:szCs w:val="24"/>
              </w:rPr>
              <w:t xml:space="preserve">                                           </w:t>
            </w:r>
          </w:p>
        </w:tc>
      </w:tr>
      <w:tr w:rsidR="00151697" w:rsidTr="007E584B">
        <w:trPr>
          <w:cnfStyle w:val="000000100000" w:firstRow="0" w:lastRow="0" w:firstColumn="0" w:lastColumn="0" w:oddVBand="0" w:evenVBand="0" w:oddHBand="1"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4590" w:type="dxa"/>
          </w:tcPr>
          <w:p w:rsidR="00151697" w:rsidRDefault="007E584B">
            <w:pPr>
              <w:jc w:val="center"/>
              <w:rPr>
                <w:color w:val="44546A"/>
              </w:rPr>
            </w:pPr>
            <w:r>
              <w:rPr>
                <w:b w:val="0"/>
                <w:color w:val="44546A"/>
              </w:rPr>
              <w:t>United States of America</w:t>
            </w:r>
          </w:p>
        </w:tc>
        <w:tc>
          <w:tcPr>
            <w:tcW w:w="1901" w:type="dxa"/>
          </w:tcPr>
          <w:p w:rsidR="00151697" w:rsidRDefault="007E584B">
            <w:pPr>
              <w:jc w:val="center"/>
              <w:cnfStyle w:val="000000100000" w:firstRow="0" w:lastRow="0" w:firstColumn="0" w:lastColumn="0" w:oddVBand="0" w:evenVBand="0" w:oddHBand="1" w:evenHBand="0" w:firstRowFirstColumn="0" w:firstRowLastColumn="0" w:lastRowFirstColumn="0" w:lastRowLastColumn="0"/>
              <w:rPr>
                <w:color w:val="44546A"/>
              </w:rPr>
            </w:pPr>
            <w:r>
              <w:rPr>
                <w:color w:val="44546A"/>
              </w:rPr>
              <w:t>14.7</w:t>
            </w:r>
          </w:p>
        </w:tc>
      </w:tr>
      <w:tr w:rsidR="00151697" w:rsidTr="007E584B">
        <w:trPr>
          <w:trHeight w:val="303"/>
          <w:jc w:val="center"/>
        </w:trPr>
        <w:tc>
          <w:tcPr>
            <w:cnfStyle w:val="001000000000" w:firstRow="0" w:lastRow="0" w:firstColumn="1" w:lastColumn="0" w:oddVBand="0" w:evenVBand="0" w:oddHBand="0" w:evenHBand="0" w:firstRowFirstColumn="0" w:firstRowLastColumn="0" w:lastRowFirstColumn="0" w:lastRowLastColumn="0"/>
            <w:tcW w:w="4590" w:type="dxa"/>
          </w:tcPr>
          <w:p w:rsidR="00151697" w:rsidRDefault="007E584B">
            <w:pPr>
              <w:jc w:val="center"/>
              <w:rPr>
                <w:color w:val="44546A"/>
              </w:rPr>
            </w:pPr>
            <w:r>
              <w:rPr>
                <w:b w:val="0"/>
                <w:color w:val="44546A"/>
              </w:rPr>
              <w:t>Germany</w:t>
            </w:r>
          </w:p>
        </w:tc>
        <w:tc>
          <w:tcPr>
            <w:tcW w:w="1901" w:type="dxa"/>
          </w:tcPr>
          <w:p w:rsidR="00151697" w:rsidRDefault="007E584B">
            <w:pPr>
              <w:jc w:val="center"/>
              <w:cnfStyle w:val="000000000000" w:firstRow="0" w:lastRow="0" w:firstColumn="0" w:lastColumn="0" w:oddVBand="0" w:evenVBand="0" w:oddHBand="0" w:evenHBand="0" w:firstRowFirstColumn="0" w:firstRowLastColumn="0" w:lastRowFirstColumn="0" w:lastRowLastColumn="0"/>
              <w:rPr>
                <w:color w:val="44546A"/>
              </w:rPr>
            </w:pPr>
            <w:r>
              <w:rPr>
                <w:color w:val="44546A"/>
              </w:rPr>
              <w:t>9.4</w:t>
            </w:r>
          </w:p>
        </w:tc>
      </w:tr>
      <w:tr w:rsidR="00151697" w:rsidTr="007E584B">
        <w:trPr>
          <w:cnfStyle w:val="000000100000" w:firstRow="0" w:lastRow="0" w:firstColumn="0" w:lastColumn="0" w:oddVBand="0" w:evenVBand="0" w:oddHBand="1"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4590" w:type="dxa"/>
          </w:tcPr>
          <w:p w:rsidR="00151697" w:rsidRDefault="007E584B">
            <w:pPr>
              <w:jc w:val="center"/>
              <w:rPr>
                <w:color w:val="44546A"/>
              </w:rPr>
            </w:pPr>
            <w:r>
              <w:rPr>
                <w:b w:val="0"/>
                <w:color w:val="44546A"/>
              </w:rPr>
              <w:t>United Kingdom</w:t>
            </w:r>
          </w:p>
        </w:tc>
        <w:tc>
          <w:tcPr>
            <w:tcW w:w="1901" w:type="dxa"/>
          </w:tcPr>
          <w:p w:rsidR="00151697" w:rsidRDefault="007E584B">
            <w:pPr>
              <w:jc w:val="center"/>
              <w:cnfStyle w:val="000000100000" w:firstRow="0" w:lastRow="0" w:firstColumn="0" w:lastColumn="0" w:oddVBand="0" w:evenVBand="0" w:oddHBand="1" w:evenHBand="0" w:firstRowFirstColumn="0" w:firstRowLastColumn="0" w:lastRowFirstColumn="0" w:lastRowLastColumn="0"/>
              <w:rPr>
                <w:color w:val="44546A"/>
              </w:rPr>
            </w:pPr>
            <w:r>
              <w:rPr>
                <w:color w:val="44546A"/>
              </w:rPr>
              <w:t>9.4</w:t>
            </w:r>
          </w:p>
        </w:tc>
      </w:tr>
      <w:tr w:rsidR="00151697" w:rsidTr="007E584B">
        <w:trPr>
          <w:trHeight w:val="303"/>
          <w:jc w:val="center"/>
        </w:trPr>
        <w:tc>
          <w:tcPr>
            <w:cnfStyle w:val="001000000000" w:firstRow="0" w:lastRow="0" w:firstColumn="1" w:lastColumn="0" w:oddVBand="0" w:evenVBand="0" w:oddHBand="0" w:evenHBand="0" w:firstRowFirstColumn="0" w:firstRowLastColumn="0" w:lastRowFirstColumn="0" w:lastRowLastColumn="0"/>
            <w:tcW w:w="4590" w:type="dxa"/>
          </w:tcPr>
          <w:p w:rsidR="00151697" w:rsidRDefault="007E584B">
            <w:pPr>
              <w:jc w:val="center"/>
              <w:rPr>
                <w:color w:val="44546A"/>
              </w:rPr>
            </w:pPr>
            <w:r>
              <w:rPr>
                <w:b w:val="0"/>
                <w:color w:val="44546A"/>
              </w:rPr>
              <w:t>Poland</w:t>
            </w:r>
          </w:p>
        </w:tc>
        <w:tc>
          <w:tcPr>
            <w:tcW w:w="1901" w:type="dxa"/>
          </w:tcPr>
          <w:p w:rsidR="00151697" w:rsidRDefault="007E584B">
            <w:pPr>
              <w:jc w:val="center"/>
              <w:cnfStyle w:val="000000000000" w:firstRow="0" w:lastRow="0" w:firstColumn="0" w:lastColumn="0" w:oddVBand="0" w:evenVBand="0" w:oddHBand="0" w:evenHBand="0" w:firstRowFirstColumn="0" w:firstRowLastColumn="0" w:lastRowFirstColumn="0" w:lastRowLastColumn="0"/>
              <w:rPr>
                <w:color w:val="44546A"/>
              </w:rPr>
            </w:pPr>
            <w:r>
              <w:rPr>
                <w:color w:val="44546A"/>
              </w:rPr>
              <w:t>9.1</w:t>
            </w:r>
          </w:p>
        </w:tc>
      </w:tr>
      <w:tr w:rsidR="00151697" w:rsidTr="007E584B">
        <w:trPr>
          <w:cnfStyle w:val="000000100000" w:firstRow="0" w:lastRow="0" w:firstColumn="0" w:lastColumn="0" w:oddVBand="0" w:evenVBand="0" w:oddHBand="1"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4590" w:type="dxa"/>
          </w:tcPr>
          <w:p w:rsidR="00151697" w:rsidRDefault="007E584B">
            <w:pPr>
              <w:jc w:val="center"/>
              <w:rPr>
                <w:color w:val="44546A"/>
              </w:rPr>
            </w:pPr>
            <w:r>
              <w:rPr>
                <w:b w:val="0"/>
                <w:color w:val="44546A"/>
              </w:rPr>
              <w:t>Russia</w:t>
            </w:r>
          </w:p>
        </w:tc>
        <w:tc>
          <w:tcPr>
            <w:tcW w:w="1901" w:type="dxa"/>
          </w:tcPr>
          <w:p w:rsidR="00151697" w:rsidRDefault="007E584B">
            <w:pPr>
              <w:jc w:val="center"/>
              <w:cnfStyle w:val="000000100000" w:firstRow="0" w:lastRow="0" w:firstColumn="0" w:lastColumn="0" w:oddVBand="0" w:evenVBand="0" w:oddHBand="1" w:evenHBand="0" w:firstRowFirstColumn="0" w:firstRowLastColumn="0" w:lastRowFirstColumn="0" w:lastRowLastColumn="0"/>
              <w:rPr>
                <w:color w:val="44546A"/>
              </w:rPr>
            </w:pPr>
            <w:r>
              <w:rPr>
                <w:color w:val="44546A"/>
              </w:rPr>
              <w:t>8.7</w:t>
            </w:r>
          </w:p>
        </w:tc>
      </w:tr>
      <w:tr w:rsidR="00151697" w:rsidTr="007E584B">
        <w:trPr>
          <w:trHeight w:val="303"/>
          <w:jc w:val="center"/>
        </w:trPr>
        <w:tc>
          <w:tcPr>
            <w:cnfStyle w:val="001000000000" w:firstRow="0" w:lastRow="0" w:firstColumn="1" w:lastColumn="0" w:oddVBand="0" w:evenVBand="0" w:oddHBand="0" w:evenHBand="0" w:firstRowFirstColumn="0" w:firstRowLastColumn="0" w:lastRowFirstColumn="0" w:lastRowLastColumn="0"/>
            <w:tcW w:w="4590" w:type="dxa"/>
          </w:tcPr>
          <w:p w:rsidR="00151697" w:rsidRDefault="007E584B">
            <w:pPr>
              <w:jc w:val="center"/>
              <w:rPr>
                <w:color w:val="44546A"/>
              </w:rPr>
            </w:pPr>
            <w:r>
              <w:rPr>
                <w:b w:val="0"/>
                <w:color w:val="44546A"/>
              </w:rPr>
              <w:t>Italy</w:t>
            </w:r>
          </w:p>
        </w:tc>
        <w:tc>
          <w:tcPr>
            <w:tcW w:w="1901" w:type="dxa"/>
          </w:tcPr>
          <w:p w:rsidR="00151697" w:rsidRDefault="007E584B">
            <w:pPr>
              <w:jc w:val="center"/>
              <w:cnfStyle w:val="000000000000" w:firstRow="0" w:lastRow="0" w:firstColumn="0" w:lastColumn="0" w:oddVBand="0" w:evenVBand="0" w:oddHBand="0" w:evenHBand="0" w:firstRowFirstColumn="0" w:firstRowLastColumn="0" w:lastRowFirstColumn="0" w:lastRowLastColumn="0"/>
              <w:rPr>
                <w:color w:val="44546A"/>
              </w:rPr>
            </w:pPr>
            <w:r>
              <w:rPr>
                <w:color w:val="44546A"/>
              </w:rPr>
              <w:t>8.3</w:t>
            </w:r>
          </w:p>
        </w:tc>
      </w:tr>
      <w:tr w:rsidR="00151697" w:rsidTr="007E584B">
        <w:trPr>
          <w:cnfStyle w:val="000000100000" w:firstRow="0" w:lastRow="0" w:firstColumn="0" w:lastColumn="0" w:oddVBand="0" w:evenVBand="0" w:oddHBand="1"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4590" w:type="dxa"/>
          </w:tcPr>
          <w:p w:rsidR="00151697" w:rsidRDefault="007E584B">
            <w:pPr>
              <w:jc w:val="center"/>
              <w:rPr>
                <w:color w:val="44546A"/>
              </w:rPr>
            </w:pPr>
            <w:r>
              <w:rPr>
                <w:b w:val="0"/>
                <w:color w:val="44546A"/>
              </w:rPr>
              <w:t>Ukraine</w:t>
            </w:r>
          </w:p>
        </w:tc>
        <w:tc>
          <w:tcPr>
            <w:tcW w:w="1901" w:type="dxa"/>
          </w:tcPr>
          <w:p w:rsidR="00151697" w:rsidRDefault="007E584B">
            <w:pPr>
              <w:jc w:val="center"/>
              <w:cnfStyle w:val="000000100000" w:firstRow="0" w:lastRow="0" w:firstColumn="0" w:lastColumn="0" w:oddVBand="0" w:evenVBand="0" w:oddHBand="1" w:evenHBand="0" w:firstRowFirstColumn="0" w:firstRowLastColumn="0" w:lastRowFirstColumn="0" w:lastRowLastColumn="0"/>
              <w:rPr>
                <w:color w:val="44546A"/>
              </w:rPr>
            </w:pPr>
            <w:r>
              <w:rPr>
                <w:color w:val="44546A"/>
              </w:rPr>
              <w:t>8.3</w:t>
            </w:r>
          </w:p>
        </w:tc>
      </w:tr>
      <w:tr w:rsidR="00151697" w:rsidTr="007E584B">
        <w:trPr>
          <w:trHeight w:val="303"/>
          <w:jc w:val="center"/>
        </w:trPr>
        <w:tc>
          <w:tcPr>
            <w:cnfStyle w:val="001000000000" w:firstRow="0" w:lastRow="0" w:firstColumn="1" w:lastColumn="0" w:oddVBand="0" w:evenVBand="0" w:oddHBand="0" w:evenHBand="0" w:firstRowFirstColumn="0" w:firstRowLastColumn="0" w:lastRowFirstColumn="0" w:lastRowLastColumn="0"/>
            <w:tcW w:w="4590" w:type="dxa"/>
          </w:tcPr>
          <w:p w:rsidR="00151697" w:rsidRDefault="007E584B">
            <w:pPr>
              <w:jc w:val="center"/>
              <w:rPr>
                <w:color w:val="44546A"/>
              </w:rPr>
            </w:pPr>
            <w:r>
              <w:rPr>
                <w:b w:val="0"/>
                <w:color w:val="44546A"/>
              </w:rPr>
              <w:t>France</w:t>
            </w:r>
          </w:p>
        </w:tc>
        <w:tc>
          <w:tcPr>
            <w:tcW w:w="1901" w:type="dxa"/>
          </w:tcPr>
          <w:p w:rsidR="00151697" w:rsidRDefault="007E584B">
            <w:pPr>
              <w:jc w:val="center"/>
              <w:cnfStyle w:val="000000000000" w:firstRow="0" w:lastRow="0" w:firstColumn="0" w:lastColumn="0" w:oddVBand="0" w:evenVBand="0" w:oddHBand="0" w:evenHBand="0" w:firstRowFirstColumn="0" w:firstRowLastColumn="0" w:lastRowFirstColumn="0" w:lastRowLastColumn="0"/>
              <w:rPr>
                <w:color w:val="44546A"/>
              </w:rPr>
            </w:pPr>
            <w:r>
              <w:rPr>
                <w:color w:val="44546A"/>
              </w:rPr>
              <w:t>8.1</w:t>
            </w:r>
          </w:p>
        </w:tc>
      </w:tr>
      <w:tr w:rsidR="00151697" w:rsidTr="007E584B">
        <w:trPr>
          <w:cnfStyle w:val="000000100000" w:firstRow="0" w:lastRow="0" w:firstColumn="0" w:lastColumn="0" w:oddVBand="0" w:evenVBand="0" w:oddHBand="1"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4590" w:type="dxa"/>
          </w:tcPr>
          <w:p w:rsidR="00151697" w:rsidRDefault="007E584B">
            <w:pPr>
              <w:jc w:val="center"/>
              <w:rPr>
                <w:color w:val="44546A"/>
              </w:rPr>
            </w:pPr>
            <w:r>
              <w:rPr>
                <w:b w:val="0"/>
                <w:color w:val="44546A"/>
              </w:rPr>
              <w:t>United Arab Emirates</w:t>
            </w:r>
          </w:p>
        </w:tc>
        <w:tc>
          <w:tcPr>
            <w:tcW w:w="1901" w:type="dxa"/>
          </w:tcPr>
          <w:p w:rsidR="00151697" w:rsidRDefault="007E584B">
            <w:pPr>
              <w:jc w:val="center"/>
              <w:cnfStyle w:val="000000100000" w:firstRow="0" w:lastRow="0" w:firstColumn="0" w:lastColumn="0" w:oddVBand="0" w:evenVBand="0" w:oddHBand="1" w:evenHBand="0" w:firstRowFirstColumn="0" w:firstRowLastColumn="0" w:lastRowFirstColumn="0" w:lastRowLastColumn="0"/>
              <w:rPr>
                <w:color w:val="44546A"/>
              </w:rPr>
            </w:pPr>
            <w:r>
              <w:rPr>
                <w:color w:val="44546A"/>
              </w:rPr>
              <w:t>6.9</w:t>
            </w:r>
          </w:p>
        </w:tc>
      </w:tr>
      <w:tr w:rsidR="00151697" w:rsidTr="007E584B">
        <w:trPr>
          <w:trHeight w:val="303"/>
          <w:jc w:val="center"/>
        </w:trPr>
        <w:tc>
          <w:tcPr>
            <w:cnfStyle w:val="001000000000" w:firstRow="0" w:lastRow="0" w:firstColumn="1" w:lastColumn="0" w:oddVBand="0" w:evenVBand="0" w:oddHBand="0" w:evenHBand="0" w:firstRowFirstColumn="0" w:firstRowLastColumn="0" w:lastRowFirstColumn="0" w:lastRowLastColumn="0"/>
            <w:tcW w:w="4590" w:type="dxa"/>
          </w:tcPr>
          <w:p w:rsidR="00151697" w:rsidRDefault="007E584B">
            <w:pPr>
              <w:jc w:val="center"/>
              <w:rPr>
                <w:color w:val="44546A"/>
              </w:rPr>
            </w:pPr>
            <w:r>
              <w:rPr>
                <w:b w:val="0"/>
                <w:color w:val="44546A"/>
              </w:rPr>
              <w:t>Kazakhstan</w:t>
            </w:r>
          </w:p>
        </w:tc>
        <w:tc>
          <w:tcPr>
            <w:tcW w:w="1901" w:type="dxa"/>
          </w:tcPr>
          <w:p w:rsidR="00151697" w:rsidRDefault="007E584B">
            <w:pPr>
              <w:jc w:val="center"/>
              <w:cnfStyle w:val="000000000000" w:firstRow="0" w:lastRow="0" w:firstColumn="0" w:lastColumn="0" w:oddVBand="0" w:evenVBand="0" w:oddHBand="0" w:evenHBand="0" w:firstRowFirstColumn="0" w:firstRowLastColumn="0" w:lastRowFirstColumn="0" w:lastRowLastColumn="0"/>
              <w:rPr>
                <w:color w:val="44546A"/>
              </w:rPr>
            </w:pPr>
            <w:r>
              <w:rPr>
                <w:color w:val="44546A"/>
              </w:rPr>
              <w:t>6.8</w:t>
            </w:r>
          </w:p>
        </w:tc>
      </w:tr>
      <w:tr w:rsidR="00151697" w:rsidTr="007E584B">
        <w:trPr>
          <w:cnfStyle w:val="000000100000" w:firstRow="0" w:lastRow="0" w:firstColumn="0" w:lastColumn="0" w:oddVBand="0" w:evenVBand="0" w:oddHBand="1"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4590" w:type="dxa"/>
          </w:tcPr>
          <w:p w:rsidR="00151697" w:rsidRDefault="007E584B">
            <w:pPr>
              <w:jc w:val="center"/>
              <w:rPr>
                <w:color w:val="44546A"/>
              </w:rPr>
            </w:pPr>
            <w:r>
              <w:rPr>
                <w:b w:val="0"/>
                <w:color w:val="44546A"/>
              </w:rPr>
              <w:t>Israel</w:t>
            </w:r>
          </w:p>
        </w:tc>
        <w:tc>
          <w:tcPr>
            <w:tcW w:w="1901" w:type="dxa"/>
          </w:tcPr>
          <w:p w:rsidR="00151697" w:rsidRDefault="007E584B">
            <w:pPr>
              <w:jc w:val="center"/>
              <w:cnfStyle w:val="000000100000" w:firstRow="0" w:lastRow="0" w:firstColumn="0" w:lastColumn="0" w:oddVBand="0" w:evenVBand="0" w:oddHBand="1" w:evenHBand="0" w:firstRowFirstColumn="0" w:firstRowLastColumn="0" w:lastRowFirstColumn="0" w:lastRowLastColumn="0"/>
              <w:rPr>
                <w:color w:val="44546A"/>
              </w:rPr>
            </w:pPr>
            <w:r>
              <w:rPr>
                <w:color w:val="44546A"/>
              </w:rPr>
              <w:t>6.6</w:t>
            </w:r>
          </w:p>
        </w:tc>
      </w:tr>
      <w:tr w:rsidR="00151697" w:rsidTr="007E584B">
        <w:trPr>
          <w:trHeight w:val="303"/>
          <w:jc w:val="center"/>
        </w:trPr>
        <w:tc>
          <w:tcPr>
            <w:cnfStyle w:val="001000000000" w:firstRow="0" w:lastRow="0" w:firstColumn="1" w:lastColumn="0" w:oddVBand="0" w:evenVBand="0" w:oddHBand="0" w:evenHBand="0" w:firstRowFirstColumn="0" w:firstRowLastColumn="0" w:lastRowFirstColumn="0" w:lastRowLastColumn="0"/>
            <w:tcW w:w="4590" w:type="dxa"/>
          </w:tcPr>
          <w:p w:rsidR="00151697" w:rsidRDefault="007E584B">
            <w:pPr>
              <w:jc w:val="center"/>
              <w:rPr>
                <w:color w:val="44546A"/>
              </w:rPr>
            </w:pPr>
            <w:r>
              <w:rPr>
                <w:b w:val="0"/>
                <w:color w:val="44546A"/>
              </w:rPr>
              <w:t>Turkey</w:t>
            </w:r>
          </w:p>
        </w:tc>
        <w:tc>
          <w:tcPr>
            <w:tcW w:w="1901" w:type="dxa"/>
          </w:tcPr>
          <w:p w:rsidR="00151697" w:rsidRDefault="007E584B">
            <w:pPr>
              <w:jc w:val="center"/>
              <w:cnfStyle w:val="000000000000" w:firstRow="0" w:lastRow="0" w:firstColumn="0" w:lastColumn="0" w:oddVBand="0" w:evenVBand="0" w:oddHBand="0" w:evenHBand="0" w:firstRowFirstColumn="0" w:firstRowLastColumn="0" w:lastRowFirstColumn="0" w:lastRowLastColumn="0"/>
              <w:rPr>
                <w:color w:val="44546A"/>
              </w:rPr>
            </w:pPr>
            <w:r>
              <w:rPr>
                <w:color w:val="44546A"/>
              </w:rPr>
              <w:t>4.9</w:t>
            </w:r>
          </w:p>
        </w:tc>
      </w:tr>
      <w:tr w:rsidR="00151697" w:rsidTr="007E584B">
        <w:trPr>
          <w:cnfStyle w:val="000000100000" w:firstRow="0" w:lastRow="0" w:firstColumn="0" w:lastColumn="0" w:oddVBand="0" w:evenVBand="0" w:oddHBand="1"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4590" w:type="dxa"/>
          </w:tcPr>
          <w:p w:rsidR="00151697" w:rsidRDefault="007E584B">
            <w:pPr>
              <w:jc w:val="center"/>
              <w:rPr>
                <w:color w:val="44546A"/>
              </w:rPr>
            </w:pPr>
            <w:r>
              <w:rPr>
                <w:b w:val="0"/>
                <w:color w:val="44546A"/>
              </w:rPr>
              <w:t>Azerbaijan</w:t>
            </w:r>
          </w:p>
        </w:tc>
        <w:tc>
          <w:tcPr>
            <w:tcW w:w="1901" w:type="dxa"/>
          </w:tcPr>
          <w:p w:rsidR="00151697" w:rsidRDefault="007E584B">
            <w:pPr>
              <w:jc w:val="center"/>
              <w:cnfStyle w:val="000000100000" w:firstRow="0" w:lastRow="0" w:firstColumn="0" w:lastColumn="0" w:oddVBand="0" w:evenVBand="0" w:oddHBand="1" w:evenHBand="0" w:firstRowFirstColumn="0" w:firstRowLastColumn="0" w:lastRowFirstColumn="0" w:lastRowLastColumn="0"/>
              <w:rPr>
                <w:color w:val="44546A"/>
              </w:rPr>
            </w:pPr>
            <w:r>
              <w:rPr>
                <w:color w:val="44546A"/>
              </w:rPr>
              <w:t>4.8</w:t>
            </w:r>
          </w:p>
        </w:tc>
      </w:tr>
      <w:tr w:rsidR="00151697" w:rsidTr="007E584B">
        <w:trPr>
          <w:trHeight w:val="303"/>
          <w:jc w:val="center"/>
        </w:trPr>
        <w:tc>
          <w:tcPr>
            <w:cnfStyle w:val="001000000000" w:firstRow="0" w:lastRow="0" w:firstColumn="1" w:lastColumn="0" w:oddVBand="0" w:evenVBand="0" w:oddHBand="0" w:evenHBand="0" w:firstRowFirstColumn="0" w:firstRowLastColumn="0" w:lastRowFirstColumn="0" w:lastRowLastColumn="0"/>
            <w:tcW w:w="4590" w:type="dxa"/>
          </w:tcPr>
          <w:p w:rsidR="00151697" w:rsidRDefault="007E584B">
            <w:pPr>
              <w:jc w:val="center"/>
              <w:rPr>
                <w:color w:val="44546A"/>
              </w:rPr>
            </w:pPr>
            <w:r>
              <w:rPr>
                <w:b w:val="0"/>
                <w:color w:val="44546A"/>
              </w:rPr>
              <w:t>Armenia</w:t>
            </w:r>
          </w:p>
        </w:tc>
        <w:tc>
          <w:tcPr>
            <w:tcW w:w="1901" w:type="dxa"/>
          </w:tcPr>
          <w:p w:rsidR="00151697" w:rsidRDefault="007E584B">
            <w:pPr>
              <w:jc w:val="center"/>
              <w:cnfStyle w:val="000000000000" w:firstRow="0" w:lastRow="0" w:firstColumn="0" w:lastColumn="0" w:oddVBand="0" w:evenVBand="0" w:oddHBand="0" w:evenHBand="0" w:firstRowFirstColumn="0" w:firstRowLastColumn="0" w:lastRowFirstColumn="0" w:lastRowLastColumn="0"/>
              <w:rPr>
                <w:color w:val="44546A"/>
              </w:rPr>
            </w:pPr>
            <w:r>
              <w:rPr>
                <w:color w:val="44546A"/>
              </w:rPr>
              <w:t>3.8</w:t>
            </w:r>
          </w:p>
        </w:tc>
      </w:tr>
    </w:tbl>
    <w:p w:rsidR="00151697" w:rsidRDefault="00151697">
      <w:pPr>
        <w:jc w:val="both"/>
      </w:pPr>
    </w:p>
    <w:p w:rsidR="00151697" w:rsidRDefault="007E584B">
      <w:pPr>
        <w:jc w:val="center"/>
        <w:rPr>
          <w:b/>
        </w:rPr>
      </w:pPr>
      <w:r>
        <w:rPr>
          <w:b/>
        </w:rPr>
        <w:t>ტურისტული პროდუქტები  (2022 წლის I კვ)</w:t>
      </w:r>
    </w:p>
    <w:p w:rsidR="00151697" w:rsidRDefault="007E584B" w:rsidP="00F12AD6">
      <w:pPr>
        <w:pBdr>
          <w:top w:val="nil"/>
          <w:left w:val="nil"/>
          <w:bottom w:val="nil"/>
          <w:right w:val="nil"/>
          <w:between w:val="nil"/>
        </w:pBdr>
        <w:spacing w:after="0"/>
        <w:ind w:left="-720"/>
        <w:jc w:val="both"/>
        <w:rPr>
          <w:color w:val="000000"/>
        </w:rPr>
      </w:pPr>
      <w:r>
        <w:rPr>
          <w:color w:val="000000"/>
        </w:rPr>
        <w:t xml:space="preserve">ასევე დიდია ვიზიტორთა დაინტერესება ტურისტულ პროდუქტებზე, უმეტესი წილი მოდის კვებასა და სამზარეულოზე (40%), მას მოყვება აქტიური ცხოვრების წესი (სათავგადასავლო) (18%), ხელოვნება და კულტურა (17%). ტურისტული პროდუქტებზე პროცენტული გადანაწილებით ყველაზე მეტად ინტერესდებიან არაბთა გაერთიანებული საემიროებიდან შემოსული ვიზიტორები(47%), შემდეგ მოყვებიან მას ამერიკის შეერთებული შტატებიდან და რუსეთის ფედერაციიდან შემოსული ვიზატორები. კვებასა და სამზარეულოდან გამოირჩევა ღვინის ინტერესი, რომელიც  მთლაინ ვიზიტორთა 70%-ს აჭარბებს.  </w:t>
      </w:r>
    </w:p>
    <w:p w:rsidR="00151697" w:rsidRDefault="00151697">
      <w:pPr>
        <w:pBdr>
          <w:top w:val="nil"/>
          <w:left w:val="nil"/>
          <w:bottom w:val="nil"/>
          <w:right w:val="nil"/>
          <w:between w:val="nil"/>
        </w:pBdr>
        <w:spacing w:after="0"/>
        <w:ind w:left="720"/>
        <w:jc w:val="both"/>
        <w:rPr>
          <w:color w:val="000000"/>
        </w:rPr>
      </w:pPr>
    </w:p>
    <w:p w:rsidR="00151697" w:rsidRDefault="007E584B">
      <w:pPr>
        <w:pBdr>
          <w:top w:val="nil"/>
          <w:left w:val="nil"/>
          <w:bottom w:val="nil"/>
          <w:right w:val="nil"/>
          <w:between w:val="nil"/>
        </w:pBdr>
        <w:spacing w:after="0"/>
        <w:ind w:left="720"/>
        <w:jc w:val="center"/>
        <w:rPr>
          <w:b/>
        </w:rPr>
      </w:pPr>
      <w:r w:rsidRPr="007E584B">
        <w:rPr>
          <w:b/>
        </w:rPr>
        <w:t>ტურისტული პროდუქტების განაწილება</w:t>
      </w:r>
    </w:p>
    <w:p w:rsidR="007E584B" w:rsidRPr="007E584B" w:rsidRDefault="007E584B">
      <w:pPr>
        <w:pBdr>
          <w:top w:val="nil"/>
          <w:left w:val="nil"/>
          <w:bottom w:val="nil"/>
          <w:right w:val="nil"/>
          <w:between w:val="nil"/>
        </w:pBdr>
        <w:spacing w:after="0"/>
        <w:ind w:left="720"/>
        <w:jc w:val="center"/>
        <w:rPr>
          <w:b/>
        </w:rPr>
      </w:pPr>
    </w:p>
    <w:p w:rsidR="00151697" w:rsidRDefault="007E584B" w:rsidP="007E584B">
      <w:pPr>
        <w:pBdr>
          <w:top w:val="nil"/>
          <w:left w:val="nil"/>
          <w:bottom w:val="nil"/>
          <w:right w:val="nil"/>
          <w:between w:val="nil"/>
        </w:pBdr>
        <w:ind w:left="-90"/>
        <w:jc w:val="center"/>
        <w:rPr>
          <w:color w:val="000000"/>
        </w:rPr>
      </w:pPr>
      <w:r>
        <w:rPr>
          <w:noProof/>
          <w:color w:val="000000"/>
          <w:highlight w:val="lightGray"/>
          <w:lang w:val="en-US"/>
        </w:rPr>
        <w:lastRenderedPageBreak/>
        <w:drawing>
          <wp:inline distT="0" distB="0" distL="0" distR="0">
            <wp:extent cx="4552950" cy="249555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51697" w:rsidRPr="007E584B" w:rsidRDefault="007E584B">
      <w:pPr>
        <w:jc w:val="center"/>
      </w:pPr>
      <w:r w:rsidRPr="007E584B">
        <w:rPr>
          <w:b/>
        </w:rPr>
        <w:t>ტურისტული პროდუქტების განაწილება კმაყოფილების დონის</w:t>
      </w:r>
      <w:r w:rsidRPr="007E584B">
        <w:t xml:space="preserve"> </w:t>
      </w:r>
      <w:r w:rsidRPr="007E584B">
        <w:rPr>
          <w:b/>
        </w:rPr>
        <w:t>მიხედვით</w:t>
      </w:r>
    </w:p>
    <w:p w:rsidR="00151697" w:rsidRDefault="007E584B">
      <w:pPr>
        <w:jc w:val="both"/>
      </w:pPr>
      <w:r>
        <w:rPr>
          <w:rFonts w:ascii="Merriweather" w:eastAsia="Merriweather" w:hAnsi="Merriweather" w:cs="Merriweather"/>
          <w:b/>
          <w:noProof/>
          <w:lang w:val="en-US"/>
        </w:rPr>
        <w:drawing>
          <wp:inline distT="0" distB="0" distL="0" distR="0">
            <wp:extent cx="6152515" cy="326517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51697" w:rsidRDefault="00151697">
      <w:pPr>
        <w:jc w:val="both"/>
      </w:pPr>
    </w:p>
    <w:p w:rsidR="007E584B" w:rsidRDefault="007E584B">
      <w:pPr>
        <w:jc w:val="both"/>
      </w:pPr>
    </w:p>
    <w:p w:rsidR="007E584B" w:rsidRDefault="007E584B">
      <w:pPr>
        <w:jc w:val="both"/>
      </w:pPr>
    </w:p>
    <w:p w:rsidR="00F12AD6" w:rsidRPr="00F12AD6" w:rsidRDefault="00F12AD6" w:rsidP="00F12AD6">
      <w:pPr>
        <w:spacing w:after="0" w:line="240" w:lineRule="auto"/>
        <w:rPr>
          <w:b/>
          <w:bCs/>
          <w:sz w:val="24"/>
          <w:szCs w:val="24"/>
        </w:rPr>
      </w:pPr>
      <w:r w:rsidRPr="00F12AD6">
        <w:rPr>
          <w:b/>
          <w:bCs/>
          <w:sz w:val="24"/>
          <w:szCs w:val="24"/>
        </w:rPr>
        <w:t>Mastercard-</w:t>
      </w:r>
      <w:r w:rsidRPr="00F12AD6">
        <w:rPr>
          <w:rFonts w:ascii="Sylfaen" w:hAnsi="Sylfaen" w:cs="Sylfaen"/>
          <w:b/>
          <w:bCs/>
          <w:sz w:val="24"/>
          <w:szCs w:val="24"/>
        </w:rPr>
        <w:t>ის</w:t>
      </w:r>
      <w:r w:rsidRPr="00F12AD6">
        <w:rPr>
          <w:b/>
          <w:bCs/>
          <w:sz w:val="24"/>
          <w:szCs w:val="24"/>
        </w:rPr>
        <w:t xml:space="preserve"> </w:t>
      </w:r>
      <w:r w:rsidRPr="00F12AD6">
        <w:rPr>
          <w:rFonts w:ascii="Sylfaen" w:hAnsi="Sylfaen" w:cs="Sylfaen"/>
          <w:b/>
          <w:bCs/>
          <w:sz w:val="24"/>
          <w:szCs w:val="24"/>
        </w:rPr>
        <w:t>შესახებ</w:t>
      </w:r>
      <w:r w:rsidRPr="00F12AD6">
        <w:rPr>
          <w:b/>
          <w:bCs/>
          <w:sz w:val="24"/>
          <w:szCs w:val="24"/>
        </w:rPr>
        <w:t>:</w:t>
      </w:r>
    </w:p>
    <w:p w:rsidR="00F12AD6" w:rsidRPr="00F12AD6" w:rsidRDefault="00F12AD6" w:rsidP="00F12AD6">
      <w:pPr>
        <w:spacing w:after="0" w:line="240" w:lineRule="auto"/>
        <w:rPr>
          <w:sz w:val="24"/>
          <w:szCs w:val="24"/>
        </w:rPr>
      </w:pPr>
    </w:p>
    <w:p w:rsidR="00F12AD6" w:rsidRPr="00F12AD6" w:rsidRDefault="00F12AD6" w:rsidP="00F12AD6">
      <w:pPr>
        <w:spacing w:after="0" w:line="240" w:lineRule="auto"/>
        <w:rPr>
          <w:sz w:val="24"/>
          <w:szCs w:val="24"/>
        </w:rPr>
      </w:pPr>
      <w:r w:rsidRPr="00F12AD6">
        <w:rPr>
          <w:rFonts w:ascii="Sylfaen" w:hAnsi="Sylfaen" w:cs="Sylfaen"/>
          <w:sz w:val="24"/>
          <w:szCs w:val="24"/>
        </w:rPr>
        <w:lastRenderedPageBreak/>
        <w:t>მასტერქარდი</w:t>
      </w:r>
      <w:r w:rsidRPr="00F12AD6">
        <w:rPr>
          <w:sz w:val="24"/>
          <w:szCs w:val="24"/>
        </w:rPr>
        <w:t xml:space="preserve"> ((NYSE: MA), </w:t>
      </w:r>
      <w:hyperlink r:id="rId12" w:history="1">
        <w:r w:rsidRPr="00F12AD6">
          <w:rPr>
            <w:color w:val="0563C1"/>
            <w:sz w:val="24"/>
            <w:szCs w:val="24"/>
            <w:u w:val="single"/>
          </w:rPr>
          <w:t>www.mastercard.com</w:t>
        </w:r>
      </w:hyperlink>
      <w:r w:rsidRPr="00F12AD6">
        <w:rPr>
          <w:sz w:val="24"/>
          <w:szCs w:val="24"/>
        </w:rPr>
        <w:t xml:space="preserve">, </w:t>
      </w:r>
      <w:r w:rsidRPr="00F12AD6">
        <w:rPr>
          <w:rFonts w:ascii="Sylfaen" w:hAnsi="Sylfaen" w:cs="Sylfaen"/>
          <w:sz w:val="24"/>
          <w:szCs w:val="24"/>
        </w:rPr>
        <w:t>არის</w:t>
      </w:r>
      <w:r w:rsidRPr="00F12AD6">
        <w:rPr>
          <w:sz w:val="24"/>
          <w:szCs w:val="24"/>
        </w:rPr>
        <w:t xml:space="preserve"> </w:t>
      </w:r>
      <w:r w:rsidRPr="00F12AD6">
        <w:rPr>
          <w:rFonts w:ascii="Sylfaen" w:hAnsi="Sylfaen" w:cs="Sylfaen"/>
          <w:sz w:val="24"/>
          <w:szCs w:val="24"/>
        </w:rPr>
        <w:t>ტექნოლოგიური</w:t>
      </w:r>
      <w:r w:rsidRPr="00F12AD6">
        <w:rPr>
          <w:sz w:val="24"/>
          <w:szCs w:val="24"/>
        </w:rPr>
        <w:t xml:space="preserve"> </w:t>
      </w:r>
      <w:r w:rsidRPr="00F12AD6">
        <w:rPr>
          <w:rFonts w:ascii="Sylfaen" w:hAnsi="Sylfaen" w:cs="Sylfaen"/>
          <w:sz w:val="24"/>
          <w:szCs w:val="24"/>
        </w:rPr>
        <w:t>კომპანია</w:t>
      </w:r>
    </w:p>
    <w:p w:rsidR="00F12AD6" w:rsidRPr="00F12AD6" w:rsidRDefault="00F12AD6" w:rsidP="00F12AD6">
      <w:pPr>
        <w:spacing w:after="0" w:line="240" w:lineRule="auto"/>
        <w:rPr>
          <w:sz w:val="24"/>
          <w:szCs w:val="24"/>
        </w:rPr>
      </w:pPr>
      <w:r w:rsidRPr="00F12AD6">
        <w:rPr>
          <w:rFonts w:ascii="Sylfaen" w:hAnsi="Sylfaen" w:cs="Sylfaen"/>
          <w:sz w:val="24"/>
          <w:szCs w:val="24"/>
        </w:rPr>
        <w:t>გადახდების</w:t>
      </w:r>
      <w:r w:rsidRPr="00F12AD6">
        <w:rPr>
          <w:sz w:val="24"/>
          <w:szCs w:val="24"/>
        </w:rPr>
        <w:t xml:space="preserve"> </w:t>
      </w:r>
      <w:r w:rsidRPr="00F12AD6">
        <w:rPr>
          <w:rFonts w:ascii="Sylfaen" w:hAnsi="Sylfaen" w:cs="Sylfaen"/>
          <w:sz w:val="24"/>
          <w:szCs w:val="24"/>
        </w:rPr>
        <w:t>გლობალურ</w:t>
      </w:r>
      <w:r w:rsidRPr="00F12AD6">
        <w:rPr>
          <w:sz w:val="24"/>
          <w:szCs w:val="24"/>
        </w:rPr>
        <w:t xml:space="preserve"> </w:t>
      </w:r>
      <w:r w:rsidRPr="00F12AD6">
        <w:rPr>
          <w:rFonts w:ascii="Sylfaen" w:hAnsi="Sylfaen" w:cs="Sylfaen"/>
          <w:sz w:val="24"/>
          <w:szCs w:val="24"/>
        </w:rPr>
        <w:t>ინდუსტრიაში</w:t>
      </w:r>
      <w:r w:rsidRPr="00F12AD6">
        <w:rPr>
          <w:sz w:val="24"/>
          <w:szCs w:val="24"/>
        </w:rPr>
        <w:t xml:space="preserve">. </w:t>
      </w:r>
      <w:r w:rsidRPr="00F12AD6">
        <w:rPr>
          <w:rFonts w:ascii="Sylfaen" w:hAnsi="Sylfaen" w:cs="Sylfaen"/>
          <w:sz w:val="24"/>
          <w:szCs w:val="24"/>
        </w:rPr>
        <w:t>ჩვენ</w:t>
      </w:r>
      <w:r w:rsidRPr="00F12AD6">
        <w:rPr>
          <w:sz w:val="24"/>
          <w:szCs w:val="24"/>
        </w:rPr>
        <w:t xml:space="preserve"> </w:t>
      </w:r>
      <w:r w:rsidRPr="00F12AD6">
        <w:rPr>
          <w:rFonts w:ascii="Sylfaen" w:hAnsi="Sylfaen" w:cs="Sylfaen"/>
          <w:sz w:val="24"/>
          <w:szCs w:val="24"/>
        </w:rPr>
        <w:t>ვმართავთ</w:t>
      </w:r>
      <w:r w:rsidRPr="00F12AD6">
        <w:rPr>
          <w:sz w:val="24"/>
          <w:szCs w:val="24"/>
        </w:rPr>
        <w:t xml:space="preserve"> </w:t>
      </w:r>
      <w:r w:rsidRPr="00F12AD6">
        <w:rPr>
          <w:rFonts w:ascii="Sylfaen" w:hAnsi="Sylfaen" w:cs="Sylfaen"/>
          <w:sz w:val="24"/>
          <w:szCs w:val="24"/>
        </w:rPr>
        <w:t>მსოფლიოში</w:t>
      </w:r>
      <w:r w:rsidRPr="00F12AD6">
        <w:rPr>
          <w:sz w:val="24"/>
          <w:szCs w:val="24"/>
        </w:rPr>
        <w:t xml:space="preserve"> </w:t>
      </w:r>
      <w:r w:rsidRPr="00F12AD6">
        <w:rPr>
          <w:rFonts w:ascii="Sylfaen" w:hAnsi="Sylfaen" w:cs="Sylfaen"/>
          <w:sz w:val="24"/>
          <w:szCs w:val="24"/>
        </w:rPr>
        <w:t>გადახდის</w:t>
      </w:r>
    </w:p>
    <w:p w:rsidR="00F12AD6" w:rsidRPr="00F12AD6" w:rsidRDefault="00F12AD6" w:rsidP="00F12AD6">
      <w:pPr>
        <w:spacing w:after="0" w:line="240" w:lineRule="auto"/>
        <w:rPr>
          <w:sz w:val="24"/>
          <w:szCs w:val="24"/>
        </w:rPr>
      </w:pPr>
      <w:r w:rsidRPr="00F12AD6">
        <w:rPr>
          <w:rFonts w:ascii="Sylfaen" w:hAnsi="Sylfaen" w:cs="Sylfaen"/>
          <w:sz w:val="24"/>
          <w:szCs w:val="24"/>
        </w:rPr>
        <w:t>ყველაზე</w:t>
      </w:r>
      <w:r w:rsidRPr="00F12AD6">
        <w:rPr>
          <w:sz w:val="24"/>
          <w:szCs w:val="24"/>
        </w:rPr>
        <w:t xml:space="preserve"> </w:t>
      </w:r>
      <w:r w:rsidRPr="00F12AD6">
        <w:rPr>
          <w:rFonts w:ascii="Sylfaen" w:hAnsi="Sylfaen" w:cs="Sylfaen"/>
          <w:sz w:val="24"/>
          <w:szCs w:val="24"/>
        </w:rPr>
        <w:t>სწრაფ</w:t>
      </w:r>
      <w:r w:rsidRPr="00F12AD6">
        <w:rPr>
          <w:sz w:val="24"/>
          <w:szCs w:val="24"/>
        </w:rPr>
        <w:t xml:space="preserve"> </w:t>
      </w:r>
      <w:r w:rsidRPr="00F12AD6">
        <w:rPr>
          <w:rFonts w:ascii="Sylfaen" w:hAnsi="Sylfaen" w:cs="Sylfaen"/>
          <w:sz w:val="24"/>
          <w:szCs w:val="24"/>
        </w:rPr>
        <w:t>საპროცესინგო</w:t>
      </w:r>
      <w:r w:rsidRPr="00F12AD6">
        <w:rPr>
          <w:sz w:val="24"/>
          <w:szCs w:val="24"/>
        </w:rPr>
        <w:t xml:space="preserve"> </w:t>
      </w:r>
      <w:r w:rsidRPr="00F12AD6">
        <w:rPr>
          <w:rFonts w:ascii="Sylfaen" w:hAnsi="Sylfaen" w:cs="Sylfaen"/>
          <w:sz w:val="24"/>
          <w:szCs w:val="24"/>
        </w:rPr>
        <w:t>ქსელს</w:t>
      </w:r>
      <w:r w:rsidRPr="00F12AD6">
        <w:rPr>
          <w:sz w:val="24"/>
          <w:szCs w:val="24"/>
        </w:rPr>
        <w:t xml:space="preserve">, </w:t>
      </w:r>
      <w:r w:rsidRPr="00F12AD6">
        <w:rPr>
          <w:rFonts w:ascii="Sylfaen" w:hAnsi="Sylfaen" w:cs="Sylfaen"/>
          <w:sz w:val="24"/>
          <w:szCs w:val="24"/>
        </w:rPr>
        <w:t>რომელიც</w:t>
      </w:r>
      <w:r w:rsidRPr="00F12AD6">
        <w:rPr>
          <w:sz w:val="24"/>
          <w:szCs w:val="24"/>
        </w:rPr>
        <w:t xml:space="preserve"> </w:t>
      </w:r>
      <w:r w:rsidRPr="00F12AD6">
        <w:rPr>
          <w:rFonts w:ascii="Sylfaen" w:hAnsi="Sylfaen" w:cs="Sylfaen"/>
          <w:sz w:val="24"/>
          <w:szCs w:val="24"/>
        </w:rPr>
        <w:t>ერთმანეთთან</w:t>
      </w:r>
      <w:r w:rsidRPr="00F12AD6">
        <w:rPr>
          <w:sz w:val="24"/>
          <w:szCs w:val="24"/>
        </w:rPr>
        <w:t xml:space="preserve"> </w:t>
      </w:r>
      <w:r w:rsidRPr="00F12AD6">
        <w:rPr>
          <w:rFonts w:ascii="Sylfaen" w:hAnsi="Sylfaen" w:cs="Sylfaen"/>
          <w:sz w:val="24"/>
          <w:szCs w:val="24"/>
        </w:rPr>
        <w:t>აკავშირებს</w:t>
      </w:r>
    </w:p>
    <w:p w:rsidR="00F12AD6" w:rsidRPr="00F12AD6" w:rsidRDefault="00F12AD6" w:rsidP="00F12AD6">
      <w:pPr>
        <w:spacing w:after="0" w:line="240" w:lineRule="auto"/>
        <w:rPr>
          <w:sz w:val="24"/>
          <w:szCs w:val="24"/>
        </w:rPr>
      </w:pPr>
      <w:r w:rsidRPr="00F12AD6">
        <w:rPr>
          <w:rFonts w:ascii="Sylfaen" w:hAnsi="Sylfaen" w:cs="Sylfaen"/>
          <w:sz w:val="24"/>
          <w:szCs w:val="24"/>
        </w:rPr>
        <w:t>მომხმარებლებს</w:t>
      </w:r>
      <w:r w:rsidRPr="00F12AD6">
        <w:rPr>
          <w:sz w:val="24"/>
          <w:szCs w:val="24"/>
        </w:rPr>
        <w:t xml:space="preserve">, </w:t>
      </w:r>
      <w:r w:rsidRPr="00F12AD6">
        <w:rPr>
          <w:rFonts w:ascii="Sylfaen" w:hAnsi="Sylfaen" w:cs="Sylfaen"/>
          <w:sz w:val="24"/>
          <w:szCs w:val="24"/>
        </w:rPr>
        <w:t>ფინანსურ</w:t>
      </w:r>
      <w:r w:rsidRPr="00F12AD6">
        <w:rPr>
          <w:sz w:val="24"/>
          <w:szCs w:val="24"/>
        </w:rPr>
        <w:t xml:space="preserve"> </w:t>
      </w:r>
      <w:r w:rsidRPr="00F12AD6">
        <w:rPr>
          <w:rFonts w:ascii="Sylfaen" w:hAnsi="Sylfaen" w:cs="Sylfaen"/>
          <w:sz w:val="24"/>
          <w:szCs w:val="24"/>
        </w:rPr>
        <w:t>ინსტიტუტებს</w:t>
      </w:r>
      <w:r w:rsidRPr="00F12AD6">
        <w:rPr>
          <w:sz w:val="24"/>
          <w:szCs w:val="24"/>
        </w:rPr>
        <w:t xml:space="preserve">, </w:t>
      </w:r>
      <w:r w:rsidRPr="00F12AD6">
        <w:rPr>
          <w:rFonts w:ascii="Sylfaen" w:hAnsi="Sylfaen" w:cs="Sylfaen"/>
          <w:sz w:val="24"/>
          <w:szCs w:val="24"/>
        </w:rPr>
        <w:t>სავაჭრო</w:t>
      </w:r>
      <w:r w:rsidRPr="00F12AD6">
        <w:rPr>
          <w:sz w:val="24"/>
          <w:szCs w:val="24"/>
        </w:rPr>
        <w:t xml:space="preserve"> </w:t>
      </w:r>
      <w:r w:rsidRPr="00F12AD6">
        <w:rPr>
          <w:rFonts w:ascii="Sylfaen" w:hAnsi="Sylfaen" w:cs="Sylfaen"/>
          <w:sz w:val="24"/>
          <w:szCs w:val="24"/>
        </w:rPr>
        <w:t>ქსელებს</w:t>
      </w:r>
      <w:r w:rsidRPr="00F12AD6">
        <w:rPr>
          <w:sz w:val="24"/>
          <w:szCs w:val="24"/>
        </w:rPr>
        <w:t xml:space="preserve">, </w:t>
      </w:r>
      <w:r w:rsidRPr="00F12AD6">
        <w:rPr>
          <w:rFonts w:ascii="Sylfaen" w:hAnsi="Sylfaen" w:cs="Sylfaen"/>
          <w:sz w:val="24"/>
          <w:szCs w:val="24"/>
        </w:rPr>
        <w:t>მთავრობასა</w:t>
      </w:r>
      <w:r w:rsidRPr="00F12AD6">
        <w:rPr>
          <w:sz w:val="24"/>
          <w:szCs w:val="24"/>
        </w:rPr>
        <w:t xml:space="preserve"> </w:t>
      </w:r>
      <w:r w:rsidRPr="00F12AD6">
        <w:rPr>
          <w:rFonts w:ascii="Sylfaen" w:hAnsi="Sylfaen" w:cs="Sylfaen"/>
          <w:sz w:val="24"/>
          <w:szCs w:val="24"/>
        </w:rPr>
        <w:t>და</w:t>
      </w:r>
    </w:p>
    <w:p w:rsidR="00F12AD6" w:rsidRPr="00F12AD6" w:rsidRDefault="00F12AD6" w:rsidP="00F12AD6">
      <w:pPr>
        <w:spacing w:after="0" w:line="240" w:lineRule="auto"/>
        <w:rPr>
          <w:sz w:val="24"/>
          <w:szCs w:val="24"/>
        </w:rPr>
      </w:pPr>
      <w:r w:rsidRPr="00F12AD6">
        <w:rPr>
          <w:rFonts w:ascii="Sylfaen" w:hAnsi="Sylfaen" w:cs="Sylfaen"/>
          <w:sz w:val="24"/>
          <w:szCs w:val="24"/>
        </w:rPr>
        <w:t>ბიზნესს</w:t>
      </w:r>
      <w:r w:rsidRPr="00F12AD6">
        <w:rPr>
          <w:sz w:val="24"/>
          <w:szCs w:val="24"/>
        </w:rPr>
        <w:t xml:space="preserve"> 210 -</w:t>
      </w:r>
      <w:r w:rsidRPr="00F12AD6">
        <w:rPr>
          <w:rFonts w:ascii="Sylfaen" w:hAnsi="Sylfaen" w:cs="Sylfaen"/>
          <w:sz w:val="24"/>
          <w:szCs w:val="24"/>
        </w:rPr>
        <w:t>ზე</w:t>
      </w:r>
      <w:r w:rsidRPr="00F12AD6">
        <w:rPr>
          <w:sz w:val="24"/>
          <w:szCs w:val="24"/>
        </w:rPr>
        <w:t xml:space="preserve"> </w:t>
      </w:r>
      <w:r w:rsidRPr="00F12AD6">
        <w:rPr>
          <w:rFonts w:ascii="Sylfaen" w:hAnsi="Sylfaen" w:cs="Sylfaen"/>
          <w:sz w:val="24"/>
          <w:szCs w:val="24"/>
        </w:rPr>
        <w:t>მეტ</w:t>
      </w:r>
      <w:r w:rsidRPr="00F12AD6">
        <w:rPr>
          <w:sz w:val="24"/>
          <w:szCs w:val="24"/>
        </w:rPr>
        <w:t xml:space="preserve"> </w:t>
      </w:r>
      <w:r w:rsidRPr="00F12AD6">
        <w:rPr>
          <w:rFonts w:ascii="Sylfaen" w:hAnsi="Sylfaen" w:cs="Sylfaen"/>
          <w:sz w:val="24"/>
          <w:szCs w:val="24"/>
        </w:rPr>
        <w:t>ქვეყანაში</w:t>
      </w:r>
      <w:r w:rsidRPr="00F12AD6">
        <w:rPr>
          <w:sz w:val="24"/>
          <w:szCs w:val="24"/>
        </w:rPr>
        <w:t xml:space="preserve">. </w:t>
      </w:r>
      <w:r w:rsidRPr="00F12AD6">
        <w:rPr>
          <w:rFonts w:ascii="Sylfaen" w:hAnsi="Sylfaen" w:cs="Sylfaen"/>
          <w:sz w:val="24"/>
          <w:szCs w:val="24"/>
        </w:rPr>
        <w:t>მასტერქარდის</w:t>
      </w:r>
      <w:r w:rsidRPr="00F12AD6">
        <w:rPr>
          <w:sz w:val="24"/>
          <w:szCs w:val="24"/>
        </w:rPr>
        <w:t xml:space="preserve"> </w:t>
      </w:r>
      <w:r w:rsidRPr="00F12AD6">
        <w:rPr>
          <w:rFonts w:ascii="Sylfaen" w:hAnsi="Sylfaen" w:cs="Sylfaen"/>
          <w:sz w:val="24"/>
          <w:szCs w:val="24"/>
        </w:rPr>
        <w:t>პროდუქტები</w:t>
      </w:r>
      <w:r w:rsidRPr="00F12AD6">
        <w:rPr>
          <w:sz w:val="24"/>
          <w:szCs w:val="24"/>
        </w:rPr>
        <w:t xml:space="preserve"> </w:t>
      </w:r>
      <w:r w:rsidRPr="00F12AD6">
        <w:rPr>
          <w:rFonts w:ascii="Sylfaen" w:hAnsi="Sylfaen" w:cs="Sylfaen"/>
          <w:sz w:val="24"/>
          <w:szCs w:val="24"/>
        </w:rPr>
        <w:t>და</w:t>
      </w:r>
      <w:r w:rsidRPr="00F12AD6">
        <w:rPr>
          <w:sz w:val="24"/>
          <w:szCs w:val="24"/>
        </w:rPr>
        <w:t xml:space="preserve"> </w:t>
      </w:r>
      <w:r w:rsidRPr="00F12AD6">
        <w:rPr>
          <w:rFonts w:ascii="Sylfaen" w:hAnsi="Sylfaen" w:cs="Sylfaen"/>
          <w:sz w:val="24"/>
          <w:szCs w:val="24"/>
        </w:rPr>
        <w:t>სისტემები</w:t>
      </w:r>
    </w:p>
    <w:p w:rsidR="00F12AD6" w:rsidRPr="00F12AD6" w:rsidRDefault="00F12AD6" w:rsidP="00F12AD6">
      <w:pPr>
        <w:spacing w:after="0" w:line="240" w:lineRule="auto"/>
        <w:rPr>
          <w:sz w:val="24"/>
          <w:szCs w:val="24"/>
        </w:rPr>
      </w:pPr>
      <w:r w:rsidRPr="00F12AD6">
        <w:rPr>
          <w:rFonts w:ascii="Sylfaen" w:hAnsi="Sylfaen" w:cs="Sylfaen"/>
          <w:sz w:val="24"/>
          <w:szCs w:val="24"/>
        </w:rPr>
        <w:t>უფრო</w:t>
      </w:r>
      <w:r w:rsidRPr="00F12AD6">
        <w:rPr>
          <w:sz w:val="24"/>
          <w:szCs w:val="24"/>
        </w:rPr>
        <w:t xml:space="preserve"> </w:t>
      </w:r>
      <w:r w:rsidRPr="00F12AD6">
        <w:rPr>
          <w:rFonts w:ascii="Sylfaen" w:hAnsi="Sylfaen" w:cs="Sylfaen"/>
          <w:sz w:val="24"/>
          <w:szCs w:val="24"/>
        </w:rPr>
        <w:t>აადვილებს</w:t>
      </w:r>
      <w:r w:rsidRPr="00F12AD6">
        <w:rPr>
          <w:sz w:val="24"/>
          <w:szCs w:val="24"/>
        </w:rPr>
        <w:t xml:space="preserve">, </w:t>
      </w:r>
      <w:r w:rsidRPr="00F12AD6">
        <w:rPr>
          <w:rFonts w:ascii="Sylfaen" w:hAnsi="Sylfaen" w:cs="Sylfaen"/>
          <w:sz w:val="24"/>
          <w:szCs w:val="24"/>
        </w:rPr>
        <w:t>უსაფრთხოსა</w:t>
      </w:r>
      <w:r w:rsidRPr="00F12AD6">
        <w:rPr>
          <w:sz w:val="24"/>
          <w:szCs w:val="24"/>
        </w:rPr>
        <w:t xml:space="preserve"> </w:t>
      </w:r>
      <w:r w:rsidRPr="00F12AD6">
        <w:rPr>
          <w:rFonts w:ascii="Sylfaen" w:hAnsi="Sylfaen" w:cs="Sylfaen"/>
          <w:sz w:val="24"/>
          <w:szCs w:val="24"/>
        </w:rPr>
        <w:t>და</w:t>
      </w:r>
      <w:r w:rsidRPr="00F12AD6">
        <w:rPr>
          <w:sz w:val="24"/>
          <w:szCs w:val="24"/>
        </w:rPr>
        <w:t xml:space="preserve"> </w:t>
      </w:r>
      <w:r w:rsidRPr="00F12AD6">
        <w:rPr>
          <w:rFonts w:ascii="Sylfaen" w:hAnsi="Sylfaen" w:cs="Sylfaen"/>
          <w:sz w:val="24"/>
          <w:szCs w:val="24"/>
        </w:rPr>
        <w:t>ეფექტურს</w:t>
      </w:r>
      <w:r w:rsidRPr="00F12AD6">
        <w:rPr>
          <w:sz w:val="24"/>
          <w:szCs w:val="24"/>
        </w:rPr>
        <w:t xml:space="preserve"> </w:t>
      </w:r>
      <w:r w:rsidRPr="00F12AD6">
        <w:rPr>
          <w:rFonts w:ascii="Sylfaen" w:hAnsi="Sylfaen" w:cs="Sylfaen"/>
          <w:sz w:val="24"/>
          <w:szCs w:val="24"/>
        </w:rPr>
        <w:t>ხდის</w:t>
      </w:r>
      <w:r w:rsidRPr="00F12AD6">
        <w:rPr>
          <w:sz w:val="24"/>
          <w:szCs w:val="24"/>
        </w:rPr>
        <w:t xml:space="preserve"> </w:t>
      </w:r>
      <w:r w:rsidRPr="00F12AD6">
        <w:rPr>
          <w:rFonts w:ascii="Sylfaen" w:hAnsi="Sylfaen" w:cs="Sylfaen"/>
          <w:sz w:val="24"/>
          <w:szCs w:val="24"/>
        </w:rPr>
        <w:t>ყოველდღიურ</w:t>
      </w:r>
      <w:r w:rsidRPr="00F12AD6">
        <w:rPr>
          <w:sz w:val="24"/>
          <w:szCs w:val="24"/>
        </w:rPr>
        <w:t xml:space="preserve"> </w:t>
      </w:r>
      <w:r w:rsidRPr="00F12AD6">
        <w:rPr>
          <w:rFonts w:ascii="Sylfaen" w:hAnsi="Sylfaen" w:cs="Sylfaen"/>
          <w:sz w:val="24"/>
          <w:szCs w:val="24"/>
        </w:rPr>
        <w:t>სავაჭრო</w:t>
      </w:r>
    </w:p>
    <w:p w:rsidR="00F12AD6" w:rsidRPr="00F12AD6" w:rsidRDefault="00F12AD6" w:rsidP="00F12AD6">
      <w:pPr>
        <w:spacing w:after="0" w:line="240" w:lineRule="auto"/>
        <w:rPr>
          <w:sz w:val="24"/>
          <w:szCs w:val="24"/>
        </w:rPr>
      </w:pPr>
      <w:r w:rsidRPr="00F12AD6">
        <w:rPr>
          <w:rFonts w:ascii="Sylfaen" w:hAnsi="Sylfaen" w:cs="Sylfaen"/>
          <w:sz w:val="24"/>
          <w:szCs w:val="24"/>
        </w:rPr>
        <w:t>საქმიანობას</w:t>
      </w:r>
      <w:r w:rsidRPr="00F12AD6">
        <w:rPr>
          <w:sz w:val="24"/>
          <w:szCs w:val="24"/>
        </w:rPr>
        <w:t xml:space="preserve">, </w:t>
      </w:r>
      <w:r w:rsidRPr="00F12AD6">
        <w:rPr>
          <w:rFonts w:ascii="Sylfaen" w:hAnsi="Sylfaen" w:cs="Sylfaen"/>
          <w:sz w:val="24"/>
          <w:szCs w:val="24"/>
        </w:rPr>
        <w:t>როგორიცაა</w:t>
      </w:r>
      <w:r w:rsidRPr="00F12AD6">
        <w:rPr>
          <w:sz w:val="24"/>
          <w:szCs w:val="24"/>
        </w:rPr>
        <w:t xml:space="preserve"> </w:t>
      </w:r>
      <w:r w:rsidRPr="00F12AD6">
        <w:rPr>
          <w:rFonts w:ascii="Sylfaen" w:hAnsi="Sylfaen" w:cs="Sylfaen"/>
          <w:sz w:val="24"/>
          <w:szCs w:val="24"/>
        </w:rPr>
        <w:t>შოპინგი</w:t>
      </w:r>
      <w:r w:rsidRPr="00F12AD6">
        <w:rPr>
          <w:sz w:val="24"/>
          <w:szCs w:val="24"/>
        </w:rPr>
        <w:t xml:space="preserve">, </w:t>
      </w:r>
      <w:r w:rsidRPr="00F12AD6">
        <w:rPr>
          <w:rFonts w:ascii="Sylfaen" w:hAnsi="Sylfaen" w:cs="Sylfaen"/>
          <w:sz w:val="24"/>
          <w:szCs w:val="24"/>
        </w:rPr>
        <w:t>მოგზაურობა</w:t>
      </w:r>
      <w:r w:rsidRPr="00F12AD6">
        <w:rPr>
          <w:sz w:val="24"/>
          <w:szCs w:val="24"/>
        </w:rPr>
        <w:t xml:space="preserve">, </w:t>
      </w:r>
      <w:r w:rsidRPr="00F12AD6">
        <w:rPr>
          <w:rFonts w:ascii="Sylfaen" w:hAnsi="Sylfaen" w:cs="Sylfaen"/>
          <w:sz w:val="24"/>
          <w:szCs w:val="24"/>
        </w:rPr>
        <w:t>ბიზნესისა</w:t>
      </w:r>
      <w:r w:rsidRPr="00F12AD6">
        <w:rPr>
          <w:sz w:val="24"/>
          <w:szCs w:val="24"/>
        </w:rPr>
        <w:t xml:space="preserve"> </w:t>
      </w:r>
      <w:r w:rsidRPr="00F12AD6">
        <w:rPr>
          <w:rFonts w:ascii="Sylfaen" w:hAnsi="Sylfaen" w:cs="Sylfaen"/>
          <w:sz w:val="24"/>
          <w:szCs w:val="24"/>
        </w:rPr>
        <w:t>და</w:t>
      </w:r>
      <w:r w:rsidRPr="00F12AD6">
        <w:rPr>
          <w:sz w:val="24"/>
          <w:szCs w:val="24"/>
        </w:rPr>
        <w:t xml:space="preserve"> </w:t>
      </w:r>
      <w:r w:rsidRPr="00F12AD6">
        <w:rPr>
          <w:rFonts w:ascii="Sylfaen" w:hAnsi="Sylfaen" w:cs="Sylfaen"/>
          <w:sz w:val="24"/>
          <w:szCs w:val="24"/>
        </w:rPr>
        <w:t>ფინანსების</w:t>
      </w:r>
    </w:p>
    <w:p w:rsidR="00F12AD6" w:rsidRPr="00F12AD6" w:rsidRDefault="00F12AD6" w:rsidP="00F12AD6">
      <w:pPr>
        <w:spacing w:after="0" w:line="240" w:lineRule="auto"/>
        <w:rPr>
          <w:sz w:val="24"/>
          <w:szCs w:val="24"/>
        </w:rPr>
      </w:pPr>
      <w:r w:rsidRPr="00F12AD6">
        <w:rPr>
          <w:rFonts w:ascii="Sylfaen" w:hAnsi="Sylfaen" w:cs="Sylfaen"/>
          <w:sz w:val="24"/>
          <w:szCs w:val="24"/>
        </w:rPr>
        <w:t>მართვა</w:t>
      </w:r>
      <w:r w:rsidRPr="00F12AD6">
        <w:rPr>
          <w:sz w:val="24"/>
          <w:szCs w:val="24"/>
        </w:rPr>
        <w:t xml:space="preserve">. </w:t>
      </w:r>
      <w:r w:rsidRPr="00F12AD6">
        <w:rPr>
          <w:rFonts w:ascii="Sylfaen" w:hAnsi="Sylfaen" w:cs="Sylfaen"/>
          <w:sz w:val="24"/>
          <w:szCs w:val="24"/>
        </w:rPr>
        <w:t>შემოგვიერთდით</w:t>
      </w:r>
      <w:r w:rsidRPr="00F12AD6">
        <w:rPr>
          <w:sz w:val="24"/>
          <w:szCs w:val="24"/>
        </w:rPr>
        <w:t xml:space="preserve"> Twitter@MasterCardNews-</w:t>
      </w:r>
      <w:r w:rsidRPr="00F12AD6">
        <w:rPr>
          <w:rFonts w:ascii="Sylfaen" w:hAnsi="Sylfaen" w:cs="Sylfaen"/>
          <w:sz w:val="24"/>
          <w:szCs w:val="24"/>
        </w:rPr>
        <w:t>ზე</w:t>
      </w:r>
      <w:r w:rsidRPr="00F12AD6">
        <w:rPr>
          <w:sz w:val="24"/>
          <w:szCs w:val="24"/>
        </w:rPr>
        <w:t xml:space="preserve">, </w:t>
      </w:r>
      <w:r w:rsidRPr="00F12AD6">
        <w:rPr>
          <w:rFonts w:ascii="Sylfaen" w:hAnsi="Sylfaen" w:cs="Sylfaen"/>
          <w:sz w:val="24"/>
          <w:szCs w:val="24"/>
        </w:rPr>
        <w:t>ჩაერთეთ</w:t>
      </w:r>
      <w:r w:rsidRPr="00F12AD6">
        <w:rPr>
          <w:sz w:val="24"/>
          <w:szCs w:val="24"/>
        </w:rPr>
        <w:t xml:space="preserve"> </w:t>
      </w:r>
      <w:r w:rsidRPr="00F12AD6">
        <w:rPr>
          <w:rFonts w:ascii="Sylfaen" w:hAnsi="Sylfaen" w:cs="Sylfaen"/>
          <w:sz w:val="24"/>
          <w:szCs w:val="24"/>
        </w:rPr>
        <w:t>საკითხების</w:t>
      </w:r>
    </w:p>
    <w:p w:rsidR="00F12AD6" w:rsidRPr="00F12AD6" w:rsidRDefault="00F12AD6" w:rsidP="00F12AD6">
      <w:pPr>
        <w:spacing w:after="0" w:line="240" w:lineRule="auto"/>
        <w:rPr>
          <w:sz w:val="24"/>
          <w:szCs w:val="24"/>
        </w:rPr>
      </w:pPr>
      <w:r w:rsidRPr="00F12AD6">
        <w:rPr>
          <w:rFonts w:ascii="Sylfaen" w:hAnsi="Sylfaen" w:cs="Sylfaen"/>
          <w:sz w:val="24"/>
          <w:szCs w:val="24"/>
        </w:rPr>
        <w:t>განხილვაში</w:t>
      </w:r>
      <w:r w:rsidRPr="00F12AD6">
        <w:rPr>
          <w:sz w:val="24"/>
          <w:szCs w:val="24"/>
        </w:rPr>
        <w:t xml:space="preserve"> </w:t>
      </w:r>
      <w:r w:rsidRPr="00F12AD6">
        <w:rPr>
          <w:rFonts w:ascii="Sylfaen" w:hAnsi="Sylfaen" w:cs="Sylfaen"/>
          <w:sz w:val="24"/>
          <w:szCs w:val="24"/>
        </w:rPr>
        <w:t>ბლოგზე</w:t>
      </w:r>
      <w:r w:rsidRPr="00F12AD6">
        <w:rPr>
          <w:sz w:val="24"/>
          <w:szCs w:val="24"/>
        </w:rPr>
        <w:t xml:space="preserve"> „</w:t>
      </w:r>
      <w:r w:rsidRPr="00F12AD6">
        <w:rPr>
          <w:rFonts w:ascii="Sylfaen" w:hAnsi="Sylfaen" w:cs="Sylfaen"/>
          <w:sz w:val="24"/>
          <w:szCs w:val="24"/>
        </w:rPr>
        <w:t>ტრანზაქციის</w:t>
      </w:r>
      <w:r w:rsidRPr="00F12AD6">
        <w:rPr>
          <w:sz w:val="24"/>
          <w:szCs w:val="24"/>
        </w:rPr>
        <w:t xml:space="preserve"> </w:t>
      </w:r>
      <w:r w:rsidRPr="00F12AD6">
        <w:rPr>
          <w:rFonts w:ascii="Sylfaen" w:hAnsi="Sylfaen" w:cs="Sylfaen"/>
          <w:sz w:val="24"/>
          <w:szCs w:val="24"/>
        </w:rPr>
        <w:t>მიღმა</w:t>
      </w:r>
      <w:r w:rsidRPr="00F12AD6">
        <w:rPr>
          <w:sz w:val="24"/>
          <w:szCs w:val="24"/>
        </w:rPr>
        <w:t xml:space="preserve">“ (Beyond the Transaction Blog) </w:t>
      </w:r>
      <w:r w:rsidRPr="00F12AD6">
        <w:rPr>
          <w:rFonts w:ascii="Sylfaen" w:hAnsi="Sylfaen" w:cs="Sylfaen"/>
          <w:sz w:val="24"/>
          <w:szCs w:val="24"/>
        </w:rPr>
        <w:t>და</w:t>
      </w:r>
    </w:p>
    <w:p w:rsidR="00F12AD6" w:rsidRPr="00F12AD6" w:rsidRDefault="00F12AD6" w:rsidP="00F12AD6">
      <w:pPr>
        <w:spacing w:after="0" w:line="240" w:lineRule="auto"/>
        <w:rPr>
          <w:sz w:val="24"/>
          <w:szCs w:val="24"/>
        </w:rPr>
      </w:pPr>
      <w:r w:rsidRPr="00F12AD6">
        <w:rPr>
          <w:rFonts w:ascii="Sylfaen" w:hAnsi="Sylfaen" w:cs="Sylfaen"/>
          <w:sz w:val="24"/>
          <w:szCs w:val="24"/>
        </w:rPr>
        <w:t>გამოიწერეთ</w:t>
      </w:r>
      <w:r w:rsidRPr="00F12AD6">
        <w:rPr>
          <w:sz w:val="24"/>
          <w:szCs w:val="24"/>
        </w:rPr>
        <w:t xml:space="preserve"> </w:t>
      </w:r>
      <w:r w:rsidRPr="00F12AD6">
        <w:rPr>
          <w:rFonts w:ascii="Sylfaen" w:hAnsi="Sylfaen" w:cs="Sylfaen"/>
          <w:sz w:val="24"/>
          <w:szCs w:val="24"/>
        </w:rPr>
        <w:t>უახლესი</w:t>
      </w:r>
      <w:r w:rsidRPr="00F12AD6">
        <w:rPr>
          <w:sz w:val="24"/>
          <w:szCs w:val="24"/>
        </w:rPr>
        <w:t xml:space="preserve"> </w:t>
      </w:r>
      <w:r w:rsidRPr="00F12AD6">
        <w:rPr>
          <w:rFonts w:ascii="Sylfaen" w:hAnsi="Sylfaen" w:cs="Sylfaen"/>
          <w:sz w:val="24"/>
          <w:szCs w:val="24"/>
        </w:rPr>
        <w:t>ამბები</w:t>
      </w:r>
      <w:r w:rsidRPr="00F12AD6">
        <w:rPr>
          <w:sz w:val="24"/>
          <w:szCs w:val="24"/>
        </w:rPr>
        <w:t xml:space="preserve"> „Engagement Bureau“-</w:t>
      </w:r>
      <w:r w:rsidRPr="00F12AD6">
        <w:rPr>
          <w:rFonts w:ascii="Sylfaen" w:hAnsi="Sylfaen" w:cs="Sylfaen"/>
          <w:sz w:val="24"/>
          <w:szCs w:val="24"/>
        </w:rPr>
        <w:t>ან</w:t>
      </w:r>
    </w:p>
    <w:p w:rsidR="00F12AD6" w:rsidRPr="00F12AD6" w:rsidRDefault="00F12AD6" w:rsidP="00F12AD6">
      <w:pPr>
        <w:spacing w:after="0" w:line="240" w:lineRule="auto"/>
        <w:rPr>
          <w:sz w:val="24"/>
          <w:szCs w:val="24"/>
        </w:rPr>
      </w:pPr>
      <w:r w:rsidRPr="00F12AD6">
        <w:rPr>
          <w:sz w:val="24"/>
          <w:szCs w:val="24"/>
        </w:rPr>
        <w:t>(</w:t>
      </w:r>
      <w:hyperlink r:id="rId13" w:history="1">
        <w:r w:rsidRPr="00F12AD6">
          <w:rPr>
            <w:color w:val="0563C1"/>
            <w:sz w:val="24"/>
            <w:szCs w:val="24"/>
            <w:u w:val="single"/>
          </w:rPr>
          <w:t>http://newsroom.mastercard.com</w:t>
        </w:r>
      </w:hyperlink>
      <w:r w:rsidRPr="00F12AD6">
        <w:rPr>
          <w:sz w:val="24"/>
          <w:szCs w:val="24"/>
        </w:rPr>
        <w:t xml:space="preserve">) </w:t>
      </w:r>
    </w:p>
    <w:p w:rsidR="00151697" w:rsidRDefault="00151697">
      <w:pPr>
        <w:jc w:val="both"/>
        <w:rPr>
          <w:b/>
          <w:color w:val="44546A"/>
        </w:rPr>
      </w:pPr>
    </w:p>
    <w:sectPr w:rsidR="00151697">
      <w:headerReference w:type="default" r:id="rId14"/>
      <w:pgSz w:w="12240" w:h="15840"/>
      <w:pgMar w:top="1134" w:right="850" w:bottom="1134"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602" w:rsidRDefault="006D5602" w:rsidP="009932F5">
      <w:pPr>
        <w:spacing w:after="0" w:line="240" w:lineRule="auto"/>
      </w:pPr>
      <w:r>
        <w:separator/>
      </w:r>
    </w:p>
  </w:endnote>
  <w:endnote w:type="continuationSeparator" w:id="0">
    <w:p w:rsidR="006D5602" w:rsidRDefault="006D5602" w:rsidP="00993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Merriweather">
    <w:altName w:val="Times New Roman"/>
    <w:charset w:val="00"/>
    <w:family w:val="auto"/>
    <w:pitch w:val="default"/>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602" w:rsidRDefault="006D5602" w:rsidP="009932F5">
      <w:pPr>
        <w:spacing w:after="0" w:line="240" w:lineRule="auto"/>
      </w:pPr>
      <w:r>
        <w:separator/>
      </w:r>
    </w:p>
  </w:footnote>
  <w:footnote w:type="continuationSeparator" w:id="0">
    <w:p w:rsidR="006D5602" w:rsidRDefault="006D5602" w:rsidP="009932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DF4" w:rsidRDefault="00471DF4">
    <w:pPr>
      <w:pStyle w:val="Header"/>
    </w:pPr>
    <w:r>
      <w:rPr>
        <w:noProof/>
        <w:lang w:val="en-US"/>
      </w:rPr>
      <w:drawing>
        <wp:inline distT="0" distB="0" distL="0" distR="0">
          <wp:extent cx="2077429" cy="1333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s-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1471" cy="1336094"/>
                  </a:xfrm>
                  <a:prstGeom prst="rect">
                    <a:avLst/>
                  </a:prstGeom>
                </pic:spPr>
              </pic:pic>
            </a:graphicData>
          </a:graphic>
        </wp:inline>
      </w:drawing>
    </w:r>
    <w:r>
      <w:ptab w:relativeTo="margin" w:alignment="center" w:leader="none"/>
    </w:r>
    <w:r>
      <w:ptab w:relativeTo="margin" w:alignment="right" w:leader="none"/>
    </w:r>
    <w:r>
      <w:rPr>
        <w:noProof/>
        <w:lang w:val="en-US"/>
      </w:rPr>
      <w:drawing>
        <wp:inline distT="0" distB="0" distL="0" distR="0">
          <wp:extent cx="1809750" cy="101797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stercard-Logo.png"/>
                  <pic:cNvPicPr/>
                </pic:nvPicPr>
                <pic:blipFill>
                  <a:blip r:embed="rId2">
                    <a:extLst>
                      <a:ext uri="{28A0092B-C50C-407E-A947-70E740481C1C}">
                        <a14:useLocalDpi xmlns:a14="http://schemas.microsoft.com/office/drawing/2010/main" val="0"/>
                      </a:ext>
                    </a:extLst>
                  </a:blip>
                  <a:stretch>
                    <a:fillRect/>
                  </a:stretch>
                </pic:blipFill>
                <pic:spPr>
                  <a:xfrm>
                    <a:off x="0" y="0"/>
                    <a:ext cx="1814575" cy="102068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697"/>
    <w:rsid w:val="000A58DE"/>
    <w:rsid w:val="00132196"/>
    <w:rsid w:val="00151697"/>
    <w:rsid w:val="00453974"/>
    <w:rsid w:val="00471DF4"/>
    <w:rsid w:val="006A4EA3"/>
    <w:rsid w:val="006D5602"/>
    <w:rsid w:val="007E584B"/>
    <w:rsid w:val="009932F5"/>
    <w:rsid w:val="00D221B4"/>
    <w:rsid w:val="00DD6EA8"/>
    <w:rsid w:val="00F12AD6"/>
    <w:rsid w:val="00FF6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F5CC41-158A-4B07-B6FB-16FAA3FF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ka-G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292498"/>
    <w:pPr>
      <w:ind w:left="720"/>
      <w:contextualSpacing/>
    </w:pPr>
  </w:style>
  <w:style w:type="table" w:styleId="PlainTable4">
    <w:name w:val="Plain Table 4"/>
    <w:basedOn w:val="TableNormal"/>
    <w:uiPriority w:val="44"/>
    <w:rsid w:val="00AF198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Accent1">
    <w:name w:val="Grid Table 2 Accent 1"/>
    <w:basedOn w:val="TableNormal"/>
    <w:uiPriority w:val="47"/>
    <w:rsid w:val="00AF1980"/>
    <w:pPr>
      <w:spacing w:after="0" w:line="240" w:lineRule="auto"/>
    </w:pPr>
    <w:tblPr>
      <w:tblStyleRowBandSize w:val="1"/>
      <w:tblStyleColBandSize w:val="1"/>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5">
    <w:name w:val="Grid Table 2 Accent 5"/>
    <w:basedOn w:val="TableNormal"/>
    <w:uiPriority w:val="47"/>
    <w:rsid w:val="005B5F51"/>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7F6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6316"/>
    <w:rPr>
      <w:rFonts w:ascii="Segoe UI" w:hAnsi="Segoe UI" w:cs="Segoe UI"/>
      <w:sz w:val="18"/>
      <w:szCs w:val="18"/>
    </w:rPr>
  </w:style>
  <w:style w:type="character" w:styleId="CommentReference">
    <w:name w:val="annotation reference"/>
    <w:basedOn w:val="DefaultParagraphFont"/>
    <w:uiPriority w:val="99"/>
    <w:semiHidden/>
    <w:unhideWhenUsed/>
    <w:rsid w:val="00902011"/>
    <w:rPr>
      <w:sz w:val="16"/>
      <w:szCs w:val="16"/>
    </w:rPr>
  </w:style>
  <w:style w:type="paragraph" w:styleId="CommentText">
    <w:name w:val="annotation text"/>
    <w:basedOn w:val="Normal"/>
    <w:link w:val="CommentTextChar"/>
    <w:uiPriority w:val="99"/>
    <w:semiHidden/>
    <w:unhideWhenUsed/>
    <w:rsid w:val="00902011"/>
    <w:pPr>
      <w:spacing w:line="240" w:lineRule="auto"/>
    </w:pPr>
    <w:rPr>
      <w:sz w:val="20"/>
      <w:szCs w:val="20"/>
    </w:rPr>
  </w:style>
  <w:style w:type="character" w:customStyle="1" w:styleId="CommentTextChar">
    <w:name w:val="Comment Text Char"/>
    <w:basedOn w:val="DefaultParagraphFont"/>
    <w:link w:val="CommentText"/>
    <w:uiPriority w:val="99"/>
    <w:semiHidden/>
    <w:rsid w:val="00902011"/>
    <w:rPr>
      <w:sz w:val="20"/>
      <w:szCs w:val="20"/>
    </w:rPr>
  </w:style>
  <w:style w:type="paragraph" w:styleId="CommentSubject">
    <w:name w:val="annotation subject"/>
    <w:basedOn w:val="CommentText"/>
    <w:next w:val="CommentText"/>
    <w:link w:val="CommentSubjectChar"/>
    <w:uiPriority w:val="99"/>
    <w:semiHidden/>
    <w:unhideWhenUsed/>
    <w:rsid w:val="00902011"/>
    <w:rPr>
      <w:b/>
      <w:bCs/>
    </w:rPr>
  </w:style>
  <w:style w:type="character" w:customStyle="1" w:styleId="CommentSubjectChar">
    <w:name w:val="Comment Subject Char"/>
    <w:basedOn w:val="CommentTextChar"/>
    <w:link w:val="CommentSubject"/>
    <w:uiPriority w:val="99"/>
    <w:semiHidden/>
    <w:rsid w:val="00902011"/>
    <w:rPr>
      <w:b/>
      <w:bCs/>
      <w:sz w:val="20"/>
      <w:szCs w:val="20"/>
    </w:rPr>
  </w:style>
  <w:style w:type="table" w:styleId="TableGrid">
    <w:name w:val="Table Grid"/>
    <w:basedOn w:val="TableNormal"/>
    <w:uiPriority w:val="39"/>
    <w:rsid w:val="006476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top w:val="nil"/>
          <w:bottom w:val="single" w:sz="12" w:space="0" w:color="9CC3E5"/>
          <w:insideH w:val="nil"/>
          <w:insideV w:val="nil"/>
        </w:tcBorders>
        <w:shd w:val="clear" w:color="auto" w:fill="FFFFFF"/>
      </w:tcPr>
    </w:tblStylePr>
    <w:tblStylePr w:type="lastRow">
      <w:rPr>
        <w:b/>
      </w:rPr>
      <w:tblPr/>
      <w:tcPr>
        <w:tcBorders>
          <w:top w:val="single" w:sz="4" w:space="0" w:color="9CC3E5"/>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styleId="GridTable2-Accent4">
    <w:name w:val="Grid Table 2 Accent 4"/>
    <w:basedOn w:val="TableNormal"/>
    <w:uiPriority w:val="47"/>
    <w:rsid w:val="007E584B"/>
    <w:pPr>
      <w:spacing w:after="0" w:line="240" w:lineRule="auto"/>
    </w:pPr>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Header">
    <w:name w:val="header"/>
    <w:basedOn w:val="Normal"/>
    <w:link w:val="HeaderChar"/>
    <w:uiPriority w:val="99"/>
    <w:unhideWhenUsed/>
    <w:rsid w:val="009932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32F5"/>
  </w:style>
  <w:style w:type="paragraph" w:styleId="Footer">
    <w:name w:val="footer"/>
    <w:basedOn w:val="Normal"/>
    <w:link w:val="FooterChar"/>
    <w:uiPriority w:val="99"/>
    <w:unhideWhenUsed/>
    <w:rsid w:val="009932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newsroom.mastercard.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astercard.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2"/>
            </a:solidFill>
            <a:ln>
              <a:noFill/>
            </a:ln>
            <a:effectLst>
              <a:outerShdw blurRad="57150" dist="19050" dir="5400000" algn="ctr" rotWithShape="0">
                <a:srgbClr val="000000">
                  <a:alpha val="63000"/>
                </a:srgbClr>
              </a:outerShdw>
            </a:effectLst>
            <a:scene3d>
              <a:camera prst="orthographicFront"/>
              <a:lightRig rig="threePt" dir="t"/>
            </a:scene3d>
            <a:sp3d>
              <a:bevelT/>
            </a:sp3d>
          </c:spPr>
          <c:invertIfNegative val="0"/>
          <c:dLbls>
            <c:dLbl>
              <c:idx val="0"/>
              <c:tx>
                <c:rich>
                  <a:bodyPr/>
                  <a:lstStyle/>
                  <a:p>
                    <a:fld id="{95532F35-20DA-4074-B855-46533F0BAE2D}" type="VALUE">
                      <a:rPr lang="en-US"/>
                      <a:pPr/>
                      <a:t>[VALUE]</a:t>
                    </a:fld>
                    <a:r>
                      <a:rPr lang="en-US"/>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34CC-47F7-8818-E0EAAA3782E6}"/>
                </c:ext>
                <c:ext xmlns:c15="http://schemas.microsoft.com/office/drawing/2012/chart" uri="{CE6537A1-D6FC-4f65-9D91-7224C49458BB}">
                  <c15:dlblFieldTable/>
                  <c15:showDataLabelsRange val="0"/>
                </c:ext>
              </c:extLst>
            </c:dLbl>
            <c:dLbl>
              <c:idx val="1"/>
              <c:tx>
                <c:rich>
                  <a:bodyPr/>
                  <a:lstStyle/>
                  <a:p>
                    <a:fld id="{1EC01992-0A19-4FCD-8280-DE89FBE37216}" type="VALUE">
                      <a:rPr lang="en-US"/>
                      <a:pPr/>
                      <a:t>[VALUE]</a:t>
                    </a:fld>
                    <a:r>
                      <a:rPr lang="en-US"/>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34CC-47F7-8818-E0EAAA3782E6}"/>
                </c:ext>
                <c:ext xmlns:c15="http://schemas.microsoft.com/office/drawing/2012/chart" uri="{CE6537A1-D6FC-4f65-9D91-7224C49458BB}">
                  <c15:dlblFieldTable/>
                  <c15:showDataLabelsRange val="0"/>
                </c:ext>
              </c:extLst>
            </c:dLbl>
            <c:dLbl>
              <c:idx val="2"/>
              <c:tx>
                <c:rich>
                  <a:bodyPr/>
                  <a:lstStyle/>
                  <a:p>
                    <a:fld id="{2E3370E4-0191-4AC0-8809-6406111C878F}" type="VALUE">
                      <a:rPr lang="en-US"/>
                      <a:pPr/>
                      <a:t>[VALUE]</a:t>
                    </a:fld>
                    <a:r>
                      <a:rPr lang="en-US"/>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34CC-47F7-8818-E0EAAA3782E6}"/>
                </c:ext>
                <c:ext xmlns:c15="http://schemas.microsoft.com/office/drawing/2012/chart" uri="{CE6537A1-D6FC-4f65-9D91-7224C49458BB}">
                  <c15:dlblFieldTable/>
                  <c15:showDataLabelsRange val="0"/>
                </c:ext>
              </c:extLst>
            </c:dLbl>
            <c:dLbl>
              <c:idx val="3"/>
              <c:tx>
                <c:rich>
                  <a:bodyPr/>
                  <a:lstStyle/>
                  <a:p>
                    <a:fld id="{31CC8A15-597B-42C6-ABD8-D4373D99CE68}" type="VALUE">
                      <a:rPr lang="en-US"/>
                      <a:pPr/>
                      <a:t>[VALUE]</a:t>
                    </a:fld>
                    <a:r>
                      <a:rPr lang="en-US"/>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34CC-47F7-8818-E0EAAA3782E6}"/>
                </c:ext>
                <c:ext xmlns:c15="http://schemas.microsoft.com/office/drawing/2012/chart" uri="{CE6537A1-D6FC-4f65-9D91-7224C49458BB}">
                  <c15:dlblFieldTable/>
                  <c15:showDataLabelsRange val="0"/>
                </c:ext>
              </c:extLst>
            </c:dLbl>
            <c:dLbl>
              <c:idx val="4"/>
              <c:tx>
                <c:rich>
                  <a:bodyPr/>
                  <a:lstStyle/>
                  <a:p>
                    <a:fld id="{08BD41AE-727B-4BD8-A0A2-A8291A0BA710}" type="VALUE">
                      <a:rPr lang="en-US"/>
                      <a:pPr/>
                      <a:t>[VALUE]</a:t>
                    </a:fld>
                    <a:r>
                      <a:rPr lang="en-US"/>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34CC-47F7-8818-E0EAAA3782E6}"/>
                </c:ext>
                <c:ext xmlns:c15="http://schemas.microsoft.com/office/drawing/2012/chart" uri="{CE6537A1-D6FC-4f65-9D91-7224C49458BB}">
                  <c15:dlblFieldTable/>
                  <c15:showDataLabelsRange val="0"/>
                </c:ext>
              </c:extLst>
            </c:dLbl>
            <c:dLbl>
              <c:idx val="5"/>
              <c:tx>
                <c:rich>
                  <a:bodyPr/>
                  <a:lstStyle/>
                  <a:p>
                    <a:fld id="{79346EC4-31B5-492D-8DF8-1B87409D5F9E}" type="VALUE">
                      <a:rPr lang="en-US"/>
                      <a:pPr/>
                      <a:t>[VALUE]</a:t>
                    </a:fld>
                    <a:r>
                      <a:rPr lang="en-US"/>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34CC-47F7-8818-E0EAAA3782E6}"/>
                </c:ext>
                <c:ext xmlns:c15="http://schemas.microsoft.com/office/drawing/2012/chart" uri="{CE6537A1-D6FC-4f65-9D91-7224C49458BB}">
                  <c15:dlblFieldTable/>
                  <c15:showDataLabelsRange val="0"/>
                </c:ext>
              </c:extLst>
            </c:dLbl>
            <c:dLbl>
              <c:idx val="6"/>
              <c:tx>
                <c:rich>
                  <a:bodyPr/>
                  <a:lstStyle/>
                  <a:p>
                    <a:fld id="{3D6445B1-8CB8-423B-85DF-D36A9A4516C4}" type="VALUE">
                      <a:rPr lang="en-US"/>
                      <a:pPr/>
                      <a:t>[VALUE]</a:t>
                    </a:fld>
                    <a:r>
                      <a:rPr lang="en-US"/>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34CC-47F7-8818-E0EAAA3782E6}"/>
                </c:ext>
                <c:ext xmlns:c15="http://schemas.microsoft.com/office/drawing/2012/chart" uri="{CE6537A1-D6FC-4f65-9D91-7224C49458BB}">
                  <c15:dlblFieldTable/>
                  <c15:showDataLabelsRange val="0"/>
                </c:ext>
              </c:extLst>
            </c:dLbl>
            <c:dLbl>
              <c:idx val="7"/>
              <c:tx>
                <c:rich>
                  <a:bodyPr/>
                  <a:lstStyle/>
                  <a:p>
                    <a:fld id="{56D448F7-FE2C-4FF8-ACBF-A472D7B7B8C7}" type="VALUE">
                      <a:rPr lang="en-US"/>
                      <a:pPr/>
                      <a:t>[VALUE]</a:t>
                    </a:fld>
                    <a:r>
                      <a:rPr lang="en-US"/>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34CC-47F7-8818-E0EAAA3782E6}"/>
                </c:ext>
                <c:ext xmlns:c15="http://schemas.microsoft.com/office/drawing/2012/chart" uri="{CE6537A1-D6FC-4f65-9D91-7224C49458BB}">
                  <c15:dlblFieldTable/>
                  <c15:showDataLabelsRange val="0"/>
                </c:ext>
              </c:extLst>
            </c:dLbl>
            <c:dLbl>
              <c:idx val="8"/>
              <c:tx>
                <c:rich>
                  <a:bodyPr/>
                  <a:lstStyle/>
                  <a:p>
                    <a:fld id="{968CF658-C2AD-448C-A96E-5A333C810E4B}" type="VALUE">
                      <a:rPr lang="en-US"/>
                      <a:pPr/>
                      <a:t>[VALUE]</a:t>
                    </a:fld>
                    <a:r>
                      <a:rPr lang="en-US"/>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34CC-47F7-8818-E0EAAA3782E6}"/>
                </c:ext>
                <c:ext xmlns:c15="http://schemas.microsoft.com/office/drawing/2012/chart" uri="{CE6537A1-D6FC-4f65-9D91-7224C49458BB}">
                  <c15:dlblFieldTable/>
                  <c15:showDataLabelsRange val="0"/>
                </c:ext>
              </c:extLst>
            </c:dLbl>
            <c:dLbl>
              <c:idx val="9"/>
              <c:tx>
                <c:rich>
                  <a:bodyPr/>
                  <a:lstStyle/>
                  <a:p>
                    <a:fld id="{48652CD9-145B-4B4B-A6A4-77A95C4A40BE}" type="VALUE">
                      <a:rPr lang="en-US"/>
                      <a:pPr/>
                      <a:t>[VALUE]</a:t>
                    </a:fld>
                    <a:r>
                      <a:rPr lang="en-US"/>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34CC-47F7-8818-E0EAAA3782E6}"/>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Ukraine</c:v>
                </c:pt>
                <c:pt idx="1">
                  <c:v>Russian Federation</c:v>
                </c:pt>
                <c:pt idx="2">
                  <c:v>Turkey</c:v>
                </c:pt>
                <c:pt idx="3">
                  <c:v>Israel</c:v>
                </c:pt>
                <c:pt idx="4">
                  <c:v>United States</c:v>
                </c:pt>
                <c:pt idx="5">
                  <c:v>United Arab Emirates</c:v>
                </c:pt>
                <c:pt idx="6">
                  <c:v>United Kingdom</c:v>
                </c:pt>
                <c:pt idx="7">
                  <c:v>Kazakhstan</c:v>
                </c:pt>
                <c:pt idx="8">
                  <c:v>Germany</c:v>
                </c:pt>
                <c:pt idx="9">
                  <c:v>Poland</c:v>
                </c:pt>
              </c:strCache>
            </c:strRef>
          </c:cat>
          <c:val>
            <c:numRef>
              <c:f>Sheet1!$B$2:$B$11</c:f>
              <c:numCache>
                <c:formatCode>General</c:formatCode>
                <c:ptCount val="10"/>
                <c:pt idx="0">
                  <c:v>225</c:v>
                </c:pt>
                <c:pt idx="1">
                  <c:v>227</c:v>
                </c:pt>
                <c:pt idx="2">
                  <c:v>494</c:v>
                </c:pt>
                <c:pt idx="3">
                  <c:v>574</c:v>
                </c:pt>
                <c:pt idx="4">
                  <c:v>611</c:v>
                </c:pt>
                <c:pt idx="5">
                  <c:v>564</c:v>
                </c:pt>
                <c:pt idx="6">
                  <c:v>488</c:v>
                </c:pt>
                <c:pt idx="7">
                  <c:v>340</c:v>
                </c:pt>
                <c:pt idx="8">
                  <c:v>470</c:v>
                </c:pt>
                <c:pt idx="9">
                  <c:v>195</c:v>
                </c:pt>
              </c:numCache>
            </c:numRef>
          </c:val>
          <c:extLst xmlns:c16r2="http://schemas.microsoft.com/office/drawing/2015/06/chart">
            <c:ext xmlns:c16="http://schemas.microsoft.com/office/drawing/2014/chart" uri="{C3380CC4-5D6E-409C-BE32-E72D297353CC}">
              <c16:uniqueId val="{0000000A-34CC-47F7-8818-E0EAAA3782E6}"/>
            </c:ext>
          </c:extLst>
        </c:ser>
        <c:dLbls>
          <c:dLblPos val="outEnd"/>
          <c:showLegendKey val="0"/>
          <c:showVal val="1"/>
          <c:showCatName val="0"/>
          <c:showSerName val="0"/>
          <c:showPercent val="0"/>
          <c:showBubbleSize val="0"/>
        </c:dLbls>
        <c:gapWidth val="219"/>
        <c:overlap val="-27"/>
        <c:axId val="345961840"/>
        <c:axId val="345956352"/>
      </c:barChart>
      <c:catAx>
        <c:axId val="345961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5956352"/>
        <c:crosses val="autoZero"/>
        <c:auto val="1"/>
        <c:lblAlgn val="ctr"/>
        <c:lblOffset val="100"/>
        <c:noMultiLvlLbl val="0"/>
      </c:catAx>
      <c:valAx>
        <c:axId val="345956352"/>
        <c:scaling>
          <c:orientation val="minMax"/>
        </c:scaling>
        <c:delete val="1"/>
        <c:axPos val="l"/>
        <c:numFmt formatCode="General" sourceLinked="1"/>
        <c:majorTickMark val="none"/>
        <c:minorTickMark val="none"/>
        <c:tickLblPos val="nextTo"/>
        <c:crossAx val="3459618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manualLayout>
          <c:layoutTarget val="inner"/>
          <c:xMode val="edge"/>
          <c:yMode val="edge"/>
          <c:x val="0.2378570935212046"/>
          <c:y val="4.3650793650793648E-2"/>
          <c:w val="0.76214290647879546"/>
          <c:h val="0.91269841269841268"/>
        </c:manualLayout>
      </c:layout>
      <c:barChart>
        <c:barDir val="bar"/>
        <c:grouping val="clustered"/>
        <c:varyColors val="0"/>
        <c:ser>
          <c:idx val="0"/>
          <c:order val="0"/>
          <c:tx>
            <c:strRef>
              <c:f>Sheet1!$B$1</c:f>
              <c:strCache>
                <c:ptCount val="1"/>
                <c:pt idx="0">
                  <c:v>Series 1</c:v>
                </c:pt>
              </c:strCache>
            </c:strRef>
          </c:tx>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a:outerShdw blurRad="57150" dist="19050" dir="5400000" algn="ctr" rotWithShape="0">
                <a:srgbClr val="000000">
                  <a:alpha val="63000"/>
                </a:srgbClr>
              </a:outerShdw>
            </a:effectLst>
          </c:spPr>
          <c:invertIfNegative val="0"/>
          <c:dPt>
            <c:idx val="0"/>
            <c:invertIfNegative val="0"/>
            <c:bubble3D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1-852F-48A5-A30C-2F09CE65A434}"/>
              </c:ext>
            </c:extLst>
          </c:dPt>
          <c:dLbls>
            <c:dLbl>
              <c:idx val="0"/>
              <c:layout>
                <c:manualLayout>
                  <c:x val="-3.8562646774416356E-2"/>
                  <c:y val="-1.5135704064023769E-16"/>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852F-48A5-A30C-2F09CE65A434}"/>
                </c:ext>
                <c:ext xmlns:c15="http://schemas.microsoft.com/office/drawing/2012/chart" uri="{CE6537A1-D6FC-4f65-9D91-7224C49458BB}"/>
              </c:extLst>
            </c:dLbl>
            <c:dLbl>
              <c:idx val="1"/>
              <c:layout>
                <c:manualLayout>
                  <c:x val="-3.1018700787401574E-2"/>
                  <c:y val="-1.4550096466308564E-16"/>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852F-48A5-A30C-2F09CE65A434}"/>
                </c:ext>
                <c:ext xmlns:c15="http://schemas.microsoft.com/office/drawing/2012/chart" uri="{CE6537A1-D6FC-4f65-9D91-7224C49458BB}"/>
              </c:extLst>
            </c:dLbl>
            <c:dLbl>
              <c:idx val="2"/>
              <c:layout>
                <c:manualLayout>
                  <c:x val="-3.7648366870807817E-2"/>
                  <c:y val="0"/>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852F-48A5-A30C-2F09CE65A434}"/>
                </c:ex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1050" b="1" i="0" u="none" strike="noStrike" kern="1200" baseline="0">
                    <a:ln>
                      <a:noFill/>
                    </a:ln>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Sheet1!$A$2:$A$10</c:f>
              <c:strCache>
                <c:ptCount val="9"/>
                <c:pt idx="0">
                  <c:v>Wellness</c:v>
                </c:pt>
                <c:pt idx="1">
                  <c:v>Nightlife</c:v>
                </c:pt>
                <c:pt idx="2">
                  <c:v>Family Activities</c:v>
                </c:pt>
                <c:pt idx="3">
                  <c:v>Shopping</c:v>
                </c:pt>
                <c:pt idx="4">
                  <c:v>Nature</c:v>
                </c:pt>
                <c:pt idx="5">
                  <c:v>Sunbathing</c:v>
                </c:pt>
                <c:pt idx="6">
                  <c:v>Arts &amp; Culture</c:v>
                </c:pt>
                <c:pt idx="7">
                  <c:v>Active Lifestyle</c:v>
                </c:pt>
                <c:pt idx="8">
                  <c:v>Food &amp; Cuisine</c:v>
                </c:pt>
              </c:strCache>
            </c:strRef>
          </c:cat>
          <c:val>
            <c:numRef>
              <c:f>Sheet1!$B$2:$B$10</c:f>
              <c:numCache>
                <c:formatCode>0.0%</c:formatCode>
                <c:ptCount val="9"/>
                <c:pt idx="0">
                  <c:v>1.4999999999999999E-2</c:v>
                </c:pt>
                <c:pt idx="1">
                  <c:v>2.1999999999999999E-2</c:v>
                </c:pt>
                <c:pt idx="2">
                  <c:v>2.8000000000000001E-2</c:v>
                </c:pt>
                <c:pt idx="3">
                  <c:v>4.8000000000000001E-2</c:v>
                </c:pt>
                <c:pt idx="4">
                  <c:v>6.2E-2</c:v>
                </c:pt>
                <c:pt idx="5">
                  <c:v>7.9000000000000001E-2</c:v>
                </c:pt>
                <c:pt idx="6">
                  <c:v>0.17</c:v>
                </c:pt>
                <c:pt idx="7">
                  <c:v>0.17799999999999999</c:v>
                </c:pt>
                <c:pt idx="8">
                  <c:v>0.39800000000000002</c:v>
                </c:pt>
              </c:numCache>
            </c:numRef>
          </c:val>
          <c:extLst xmlns:c16r2="http://schemas.microsoft.com/office/drawing/2015/06/chart">
            <c:ext xmlns:c16="http://schemas.microsoft.com/office/drawing/2014/chart" uri="{C3380CC4-5D6E-409C-BE32-E72D297353CC}">
              <c16:uniqueId val="{00000004-852F-48A5-A30C-2F09CE65A434}"/>
            </c:ext>
          </c:extLst>
        </c:ser>
        <c:dLbls>
          <c:dLblPos val="inEnd"/>
          <c:showLegendKey val="0"/>
          <c:showVal val="1"/>
          <c:showCatName val="0"/>
          <c:showSerName val="0"/>
          <c:showPercent val="0"/>
          <c:showBubbleSize val="0"/>
        </c:dLbls>
        <c:gapWidth val="100"/>
        <c:axId val="345957528"/>
        <c:axId val="345959880"/>
      </c:barChart>
      <c:catAx>
        <c:axId val="3459575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dk1"/>
                </a:solidFill>
                <a:latin typeface="+mn-lt"/>
                <a:ea typeface="+mn-ea"/>
                <a:cs typeface="+mn-cs"/>
              </a:defRPr>
            </a:pPr>
            <a:endParaRPr lang="en-US"/>
          </a:p>
        </c:txPr>
        <c:crossAx val="345959880"/>
        <c:crosses val="autoZero"/>
        <c:auto val="1"/>
        <c:lblAlgn val="ctr"/>
        <c:lblOffset val="100"/>
        <c:noMultiLvlLbl val="0"/>
      </c:catAx>
      <c:valAx>
        <c:axId val="345959880"/>
        <c:scaling>
          <c:orientation val="minMax"/>
        </c:scaling>
        <c:delete val="1"/>
        <c:axPos val="b"/>
        <c:numFmt formatCode="0.0%" sourceLinked="1"/>
        <c:majorTickMark val="none"/>
        <c:minorTickMark val="none"/>
        <c:tickLblPos val="nextTo"/>
        <c:crossAx val="34595752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n>
            <a:noFill/>
          </a:ln>
          <a:solidFill>
            <a:schemeClr val="dk1"/>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bar"/>
        <c:grouping val="percentStacked"/>
        <c:varyColors val="0"/>
        <c:ser>
          <c:idx val="0"/>
          <c:order val="0"/>
          <c:tx>
            <c:strRef>
              <c:f>Sheet1!$B$1</c:f>
              <c:strCache>
                <c:ptCount val="1"/>
                <c:pt idx="0">
                  <c:v>Positive</c:v>
                </c:pt>
              </c:strCache>
            </c:strRef>
          </c:tx>
          <c:spPr>
            <a:solidFill>
              <a:schemeClr val="accent4">
                <a:tint val="65000"/>
              </a:schemeClr>
            </a:solidFill>
            <a:ln>
              <a:noFill/>
            </a:ln>
            <a:effectLst/>
          </c:spPr>
          <c:invertIfNegative val="0"/>
          <c:cat>
            <c:strRef>
              <c:f>Sheet1!$A$2:$A$10</c:f>
              <c:strCache>
                <c:ptCount val="9"/>
                <c:pt idx="0">
                  <c:v>Wellness</c:v>
                </c:pt>
                <c:pt idx="1">
                  <c:v>Nightlife</c:v>
                </c:pt>
                <c:pt idx="2">
                  <c:v>Family Activities</c:v>
                </c:pt>
                <c:pt idx="3">
                  <c:v>Shopping</c:v>
                </c:pt>
                <c:pt idx="4">
                  <c:v>Nature</c:v>
                </c:pt>
                <c:pt idx="5">
                  <c:v>Sunbathing</c:v>
                </c:pt>
                <c:pt idx="6">
                  <c:v>Arts &amp; Culture</c:v>
                </c:pt>
                <c:pt idx="7">
                  <c:v>Active Lifestyle</c:v>
                </c:pt>
                <c:pt idx="8">
                  <c:v>Food &amp; Cuisine</c:v>
                </c:pt>
              </c:strCache>
            </c:strRef>
          </c:cat>
          <c:val>
            <c:numRef>
              <c:f>Sheet1!$B$2:$B$10</c:f>
              <c:numCache>
                <c:formatCode>General</c:formatCode>
                <c:ptCount val="9"/>
                <c:pt idx="0">
                  <c:v>23.81</c:v>
                </c:pt>
                <c:pt idx="1">
                  <c:v>30</c:v>
                </c:pt>
                <c:pt idx="2">
                  <c:v>20.51</c:v>
                </c:pt>
                <c:pt idx="3">
                  <c:v>47.76</c:v>
                </c:pt>
                <c:pt idx="4">
                  <c:v>45.35</c:v>
                </c:pt>
                <c:pt idx="5">
                  <c:v>58.18</c:v>
                </c:pt>
                <c:pt idx="6">
                  <c:v>41.28</c:v>
                </c:pt>
                <c:pt idx="7">
                  <c:v>55.69</c:v>
                </c:pt>
                <c:pt idx="8">
                  <c:v>65.88</c:v>
                </c:pt>
              </c:numCache>
            </c:numRef>
          </c:val>
          <c:extLst xmlns:c16r2="http://schemas.microsoft.com/office/drawing/2015/06/chart">
            <c:ext xmlns:c16="http://schemas.microsoft.com/office/drawing/2014/chart" uri="{C3380CC4-5D6E-409C-BE32-E72D297353CC}">
              <c16:uniqueId val="{00000000-5524-42A1-94BF-7C7FD22CE1EC}"/>
            </c:ext>
          </c:extLst>
        </c:ser>
        <c:ser>
          <c:idx val="1"/>
          <c:order val="1"/>
          <c:tx>
            <c:strRef>
              <c:f>Sheet1!$C$1</c:f>
              <c:strCache>
                <c:ptCount val="1"/>
                <c:pt idx="0">
                  <c:v>Neutral</c:v>
                </c:pt>
              </c:strCache>
            </c:strRef>
          </c:tx>
          <c:spPr>
            <a:solidFill>
              <a:schemeClr val="accent4"/>
            </a:solidFill>
            <a:ln>
              <a:noFill/>
            </a:ln>
            <a:effectLst/>
          </c:spPr>
          <c:invertIfNegative val="0"/>
          <c:cat>
            <c:strRef>
              <c:f>Sheet1!$A$2:$A$10</c:f>
              <c:strCache>
                <c:ptCount val="9"/>
                <c:pt idx="0">
                  <c:v>Wellness</c:v>
                </c:pt>
                <c:pt idx="1">
                  <c:v>Nightlife</c:v>
                </c:pt>
                <c:pt idx="2">
                  <c:v>Family Activities</c:v>
                </c:pt>
                <c:pt idx="3">
                  <c:v>Shopping</c:v>
                </c:pt>
                <c:pt idx="4">
                  <c:v>Nature</c:v>
                </c:pt>
                <c:pt idx="5">
                  <c:v>Sunbathing</c:v>
                </c:pt>
                <c:pt idx="6">
                  <c:v>Arts &amp; Culture</c:v>
                </c:pt>
                <c:pt idx="7">
                  <c:v>Active Lifestyle</c:v>
                </c:pt>
                <c:pt idx="8">
                  <c:v>Food &amp; Cuisine</c:v>
                </c:pt>
              </c:strCache>
            </c:strRef>
          </c:cat>
          <c:val>
            <c:numRef>
              <c:f>Sheet1!$C$2:$C$10</c:f>
              <c:numCache>
                <c:formatCode>General</c:formatCode>
                <c:ptCount val="9"/>
                <c:pt idx="0">
                  <c:v>61.9</c:v>
                </c:pt>
                <c:pt idx="1">
                  <c:v>66.67</c:v>
                </c:pt>
                <c:pt idx="2">
                  <c:v>79.489999999999995</c:v>
                </c:pt>
                <c:pt idx="3">
                  <c:v>50.75</c:v>
                </c:pt>
                <c:pt idx="4">
                  <c:v>53.49</c:v>
                </c:pt>
                <c:pt idx="5">
                  <c:v>41.82</c:v>
                </c:pt>
                <c:pt idx="6">
                  <c:v>54.89</c:v>
                </c:pt>
                <c:pt idx="7">
                  <c:v>43.5</c:v>
                </c:pt>
                <c:pt idx="8">
                  <c:v>33.58</c:v>
                </c:pt>
              </c:numCache>
            </c:numRef>
          </c:val>
          <c:extLst xmlns:c16r2="http://schemas.microsoft.com/office/drawing/2015/06/chart">
            <c:ext xmlns:c16="http://schemas.microsoft.com/office/drawing/2014/chart" uri="{C3380CC4-5D6E-409C-BE32-E72D297353CC}">
              <c16:uniqueId val="{00000001-5524-42A1-94BF-7C7FD22CE1EC}"/>
            </c:ext>
          </c:extLst>
        </c:ser>
        <c:ser>
          <c:idx val="2"/>
          <c:order val="2"/>
          <c:tx>
            <c:strRef>
              <c:f>Sheet1!$D$1</c:f>
              <c:strCache>
                <c:ptCount val="1"/>
                <c:pt idx="0">
                  <c:v>Negative</c:v>
                </c:pt>
              </c:strCache>
            </c:strRef>
          </c:tx>
          <c:spPr>
            <a:solidFill>
              <a:schemeClr val="accent4">
                <a:shade val="65000"/>
              </a:schemeClr>
            </a:solidFill>
            <a:ln>
              <a:noFill/>
            </a:ln>
            <a:effectLst/>
          </c:spPr>
          <c:invertIfNegative val="0"/>
          <c:cat>
            <c:strRef>
              <c:f>Sheet1!$A$2:$A$10</c:f>
              <c:strCache>
                <c:ptCount val="9"/>
                <c:pt idx="0">
                  <c:v>Wellness</c:v>
                </c:pt>
                <c:pt idx="1">
                  <c:v>Nightlife</c:v>
                </c:pt>
                <c:pt idx="2">
                  <c:v>Family Activities</c:v>
                </c:pt>
                <c:pt idx="3">
                  <c:v>Shopping</c:v>
                </c:pt>
                <c:pt idx="4">
                  <c:v>Nature</c:v>
                </c:pt>
                <c:pt idx="5">
                  <c:v>Sunbathing</c:v>
                </c:pt>
                <c:pt idx="6">
                  <c:v>Arts &amp; Culture</c:v>
                </c:pt>
                <c:pt idx="7">
                  <c:v>Active Lifestyle</c:v>
                </c:pt>
                <c:pt idx="8">
                  <c:v>Food &amp; Cuisine</c:v>
                </c:pt>
              </c:strCache>
            </c:strRef>
          </c:cat>
          <c:val>
            <c:numRef>
              <c:f>Sheet1!$D$2:$D$10</c:f>
              <c:numCache>
                <c:formatCode>General</c:formatCode>
                <c:ptCount val="9"/>
                <c:pt idx="0">
                  <c:v>14.29</c:v>
                </c:pt>
                <c:pt idx="1">
                  <c:v>3.33</c:v>
                </c:pt>
                <c:pt idx="2">
                  <c:v>0</c:v>
                </c:pt>
                <c:pt idx="3">
                  <c:v>1.49</c:v>
                </c:pt>
                <c:pt idx="4">
                  <c:v>1.1599999999999999</c:v>
                </c:pt>
                <c:pt idx="5">
                  <c:v>0</c:v>
                </c:pt>
                <c:pt idx="6">
                  <c:v>3.83</c:v>
                </c:pt>
                <c:pt idx="7">
                  <c:v>0.81</c:v>
                </c:pt>
                <c:pt idx="8">
                  <c:v>0.54</c:v>
                </c:pt>
              </c:numCache>
            </c:numRef>
          </c:val>
          <c:extLst xmlns:c16r2="http://schemas.microsoft.com/office/drawing/2015/06/chart">
            <c:ext xmlns:c16="http://schemas.microsoft.com/office/drawing/2014/chart" uri="{C3380CC4-5D6E-409C-BE32-E72D297353CC}">
              <c16:uniqueId val="{00000002-5524-42A1-94BF-7C7FD22CE1EC}"/>
            </c:ext>
          </c:extLst>
        </c:ser>
        <c:dLbls>
          <c:showLegendKey val="0"/>
          <c:showVal val="0"/>
          <c:showCatName val="0"/>
          <c:showSerName val="0"/>
          <c:showPercent val="0"/>
          <c:showBubbleSize val="0"/>
        </c:dLbls>
        <c:gapWidth val="75"/>
        <c:overlap val="100"/>
        <c:axId val="190994512"/>
        <c:axId val="190998824"/>
      </c:barChart>
      <c:catAx>
        <c:axId val="190994512"/>
        <c:scaling>
          <c:orientation val="minMax"/>
        </c:scaling>
        <c:delete val="0"/>
        <c:axPos val="l"/>
        <c:numFmt formatCode="General" sourceLinked="0"/>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90998824"/>
        <c:crosses val="autoZero"/>
        <c:auto val="1"/>
        <c:lblAlgn val="ctr"/>
        <c:lblOffset val="100"/>
        <c:noMultiLvlLbl val="0"/>
      </c:catAx>
      <c:valAx>
        <c:axId val="190998824"/>
        <c:scaling>
          <c:orientation val="minMax"/>
        </c:scaling>
        <c:delete val="0"/>
        <c:axPos val="b"/>
        <c:numFmt formatCode="0%" sourceLinked="1"/>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90994512"/>
        <c:crosses val="autoZero"/>
        <c:crossBetween val="between"/>
      </c:valAx>
      <c:spPr>
        <a:solidFill>
          <a:schemeClr val="bg1"/>
        </a:solidFill>
        <a:ln>
          <a:noFill/>
        </a:ln>
        <a:effectLst/>
      </c:spPr>
    </c:plotArea>
    <c:legend>
      <c:legendPos val="b"/>
      <c:layout>
        <c:manualLayout>
          <c:xMode val="edge"/>
          <c:yMode val="edge"/>
          <c:x val="0.36050494437820457"/>
          <c:y val="0.882926879902724"/>
          <c:w val="0.32548023044234758"/>
          <c:h val="7.0334163305432795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6350" cap="flat" cmpd="sng" algn="ctr">
      <a:noFill/>
      <a:prstDash val="solid"/>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colors2.xml><?xml version="1.0" encoding="utf-8"?>
<cs:colorStyle xmlns:cs="http://schemas.microsoft.com/office/drawing/2012/chartStyle" xmlns:a="http://schemas.openxmlformats.org/drawingml/2006/main" meth="withinLinear" id="17">
  <a:schemeClr val="accent4"/>
</cs:colorStyle>
</file>

<file path=word/charts/colors3.xml><?xml version="1.0" encoding="utf-8"?>
<cs:colorStyle xmlns:cs="http://schemas.microsoft.com/office/drawing/2012/chartStyle" xmlns:a="http://schemas.openxmlformats.org/drawingml/2006/main" meth="withinLinearReversed" id="24">
  <a:schemeClr val="accent4"/>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fnSKt76gXUvLehTYujPIGbgbdA==">AMUW2mVB192DRz8qDTJRbXE1YvmxT6bbPZs6i9uSKDQBeHPMX6J3h4lWKUVCb5CaKKkRsAkGnFNvnEyUfW0nMoO8ojctCL2u3E7ycUxengwD9Q2p7LLq2rvNQXgteg142Rrj8x0dqzpN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6</Pages>
  <Words>814</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 Bregadze</dc:creator>
  <cp:lastModifiedBy>Luka</cp:lastModifiedBy>
  <cp:revision>10</cp:revision>
  <dcterms:created xsi:type="dcterms:W3CDTF">2022-04-18T11:12:00Z</dcterms:created>
  <dcterms:modified xsi:type="dcterms:W3CDTF">2022-05-24T09:21:00Z</dcterms:modified>
</cp:coreProperties>
</file>